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C9250">
      <w:pPr>
        <w:jc w:val="center"/>
        <w:rPr>
          <w:rFonts w:ascii="黑体" w:hAnsi="黑体" w:eastAsia="黑体"/>
          <w:sz w:val="36"/>
          <w:szCs w:val="36"/>
        </w:rPr>
      </w:pPr>
      <w:r>
        <w:rPr>
          <w:rFonts w:hint="eastAsia" w:ascii="黑体" w:hAnsi="黑体" w:eastAsia="黑体"/>
          <w:sz w:val="36"/>
          <w:szCs w:val="36"/>
        </w:rPr>
        <w:t>深圳明德实验学校（集团）</w:t>
      </w:r>
      <w:r>
        <w:rPr>
          <w:rFonts w:hint="eastAsia" w:ascii="黑体" w:hAnsi="黑体" w:eastAsia="黑体"/>
          <w:sz w:val="36"/>
          <w:szCs w:val="36"/>
          <w:lang w:val="en-US" w:eastAsia="zh-CN"/>
        </w:rPr>
        <w:t>碧海</w:t>
      </w:r>
      <w:r>
        <w:rPr>
          <w:rFonts w:hint="eastAsia" w:ascii="黑体" w:hAnsi="黑体" w:eastAsia="黑体"/>
          <w:sz w:val="36"/>
          <w:szCs w:val="36"/>
        </w:rPr>
        <w:t>校区项目需求书</w:t>
      </w:r>
    </w:p>
    <w:p w14:paraId="3695AFAD">
      <w:pPr>
        <w:autoSpaceDE w:val="0"/>
        <w:autoSpaceDN w:val="0"/>
        <w:adjustRightInd w:val="0"/>
        <w:spacing w:line="480" w:lineRule="auto"/>
        <w:outlineLvl w:val="0"/>
        <w:rPr>
          <w:rFonts w:asciiTheme="minorEastAsia" w:hAnsiTheme="minorEastAsia"/>
          <w:b/>
          <w:bCs/>
          <w:sz w:val="22"/>
          <w:szCs w:val="24"/>
          <w:lang w:val="zh-CN"/>
        </w:rPr>
      </w:pPr>
      <w:r>
        <w:rPr>
          <w:rFonts w:hint="eastAsia" w:asciiTheme="minorEastAsia" w:hAnsiTheme="minorEastAsia"/>
          <w:sz w:val="22"/>
          <w:szCs w:val="24"/>
          <w:lang w:val="zh-CN"/>
        </w:rPr>
        <w:t>一、</w:t>
      </w:r>
      <w:r>
        <w:rPr>
          <w:rFonts w:hint="eastAsia" w:cs="宋体" w:asciiTheme="minorEastAsia" w:hAnsiTheme="minorEastAsia"/>
          <w:b/>
          <w:bCs/>
          <w:sz w:val="22"/>
          <w:szCs w:val="24"/>
          <w:lang w:val="zh-CN"/>
        </w:rPr>
        <w:t>项目基本情况</w:t>
      </w:r>
    </w:p>
    <w:p w14:paraId="2781448F">
      <w:pPr>
        <w:pStyle w:val="5"/>
        <w:spacing w:after="0" w:line="276" w:lineRule="auto"/>
        <w:rPr>
          <w:rFonts w:hint="default" w:asciiTheme="minorEastAsia" w:hAnsiTheme="minorEastAsia"/>
          <w:b/>
          <w:sz w:val="22"/>
          <w:szCs w:val="24"/>
        </w:rPr>
      </w:pPr>
      <w:r>
        <w:rPr>
          <w:rFonts w:asciiTheme="minorEastAsia" w:hAnsiTheme="minorEastAsia"/>
          <w:b/>
          <w:sz w:val="22"/>
          <w:szCs w:val="24"/>
        </w:rPr>
        <w:t>1.项目概况：</w:t>
      </w:r>
    </w:p>
    <w:p w14:paraId="252FEB15">
      <w:pPr>
        <w:pStyle w:val="5"/>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（1）项目名称：</w:t>
      </w:r>
      <w:r>
        <w:rPr>
          <w:rFonts w:hint="eastAsia" w:asciiTheme="minorEastAsia" w:hAnsiTheme="minorEastAsia"/>
          <w:sz w:val="22"/>
          <w:szCs w:val="24"/>
          <w:lang w:val="en-US" w:eastAsia="zh-CN"/>
        </w:rPr>
        <w:t>深圳明德实验学校（集团）碧海校区学生课桌椅采购</w:t>
      </w:r>
      <w:r>
        <w:rPr>
          <w:rFonts w:hint="default" w:asciiTheme="minorEastAsia" w:hAnsiTheme="minorEastAsia"/>
          <w:sz w:val="22"/>
          <w:szCs w:val="24"/>
        </w:rPr>
        <w:t xml:space="preserve"> </w:t>
      </w:r>
    </w:p>
    <w:p w14:paraId="3A5A42E5">
      <w:pPr>
        <w:pStyle w:val="5"/>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（2）项目概况：</w:t>
      </w:r>
      <w:r>
        <w:rPr>
          <w:rFonts w:hint="eastAsia" w:asciiTheme="minorEastAsia" w:hAnsiTheme="minorEastAsia"/>
          <w:sz w:val="22"/>
          <w:szCs w:val="24"/>
          <w:lang w:val="en-US" w:eastAsia="zh-CN"/>
        </w:rPr>
        <w:t>250套学生课桌椅</w:t>
      </w:r>
      <w:r>
        <w:rPr>
          <w:rFonts w:hint="default" w:asciiTheme="minorEastAsia" w:hAnsiTheme="minorEastAsia"/>
          <w:sz w:val="22"/>
          <w:szCs w:val="24"/>
        </w:rPr>
        <w:t xml:space="preserve"> </w:t>
      </w:r>
    </w:p>
    <w:p w14:paraId="33C522DC">
      <w:pPr>
        <w:spacing w:line="276" w:lineRule="auto"/>
        <w:ind w:firstLine="440" w:firstLineChars="200"/>
        <w:rPr>
          <w:rFonts w:asciiTheme="minorEastAsia" w:hAnsiTheme="minorEastAsia" w:cstheme="minorEastAsia"/>
          <w:sz w:val="22"/>
        </w:rPr>
      </w:pPr>
      <w:r>
        <w:rPr>
          <w:rFonts w:hint="eastAsia" w:asciiTheme="minorEastAsia" w:hAnsiTheme="minorEastAsia" w:cstheme="minorEastAsia"/>
          <w:sz w:val="22"/>
        </w:rPr>
        <w:t>（3）项目预算：人民币</w:t>
      </w:r>
      <w:r>
        <w:rPr>
          <w:rFonts w:hint="eastAsia" w:asciiTheme="minorEastAsia" w:hAnsiTheme="minorEastAsia" w:cstheme="minorEastAsia"/>
          <w:sz w:val="22"/>
          <w:lang w:val="en-US" w:eastAsia="zh-CN"/>
        </w:rPr>
        <w:t>12.88</w:t>
      </w:r>
      <w:r>
        <w:rPr>
          <w:rFonts w:hint="eastAsia" w:asciiTheme="minorEastAsia" w:hAnsiTheme="minorEastAsia" w:cstheme="minorEastAsia"/>
          <w:b/>
          <w:sz w:val="22"/>
        </w:rPr>
        <w:t>万元</w:t>
      </w:r>
    </w:p>
    <w:p w14:paraId="2CD71954">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（4）交货期：自合同签订之日起日历天</w:t>
      </w:r>
    </w:p>
    <w:p w14:paraId="52F38953">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（5）项目质保期：</w:t>
      </w:r>
      <w:r>
        <w:rPr>
          <w:rFonts w:hint="eastAsia" w:asciiTheme="minorEastAsia" w:hAnsiTheme="minorEastAsia"/>
          <w:sz w:val="22"/>
          <w:szCs w:val="24"/>
          <w:lang w:val="en-US" w:eastAsia="zh-CN"/>
        </w:rPr>
        <w:t>5</w:t>
      </w:r>
      <w:r>
        <w:rPr>
          <w:rFonts w:hint="eastAsia" w:asciiTheme="minorEastAsia" w:hAnsiTheme="minorEastAsia"/>
          <w:sz w:val="22"/>
          <w:szCs w:val="24"/>
        </w:rPr>
        <w:t>年</w:t>
      </w:r>
    </w:p>
    <w:p w14:paraId="63E81EE0">
      <w:pPr>
        <w:pStyle w:val="5"/>
        <w:spacing w:after="0" w:line="276" w:lineRule="auto"/>
        <w:rPr>
          <w:rFonts w:hint="default" w:cs="宋体" w:asciiTheme="minorEastAsia" w:hAnsiTheme="minorEastAsia"/>
          <w:bCs/>
          <w:kern w:val="11"/>
          <w:sz w:val="22"/>
          <w:szCs w:val="24"/>
          <w:lang w:val="zh-CN"/>
        </w:rPr>
      </w:pPr>
      <w:r>
        <w:rPr>
          <w:rFonts w:asciiTheme="minorEastAsia" w:hAnsiTheme="minorEastAsia"/>
          <w:b/>
          <w:sz w:val="22"/>
          <w:szCs w:val="24"/>
        </w:rPr>
        <w:t>2.投标人投标文件的编制要求：</w:t>
      </w:r>
    </w:p>
    <w:p w14:paraId="5AF55C87">
      <w:pPr>
        <w:spacing w:line="276" w:lineRule="auto"/>
        <w:ind w:firstLine="440" w:firstLineChars="200"/>
        <w:rPr>
          <w:rFonts w:asciiTheme="minorEastAsia" w:hAnsiTheme="minorEastAsia"/>
          <w:sz w:val="22"/>
          <w:szCs w:val="24"/>
          <w:highlight w:val="red"/>
        </w:rPr>
      </w:pPr>
      <w:r>
        <w:rPr>
          <w:rFonts w:asciiTheme="minorEastAsia" w:hAnsiTheme="minorEastAsia"/>
          <w:sz w:val="22"/>
          <w:szCs w:val="24"/>
          <w:highlight w:val="red"/>
        </w:rPr>
        <w:t>（1）</w:t>
      </w:r>
      <w:r>
        <w:rPr>
          <w:rFonts w:hint="eastAsia" w:asciiTheme="minorEastAsia" w:hAnsiTheme="minorEastAsia"/>
          <w:sz w:val="22"/>
          <w:szCs w:val="24"/>
          <w:highlight w:val="red"/>
        </w:rPr>
        <w:t>投标截止时间：</w:t>
      </w:r>
      <w:r>
        <w:rPr>
          <w:rFonts w:hint="eastAsia" w:asciiTheme="minorEastAsia" w:hAnsiTheme="minorEastAsia"/>
          <w:sz w:val="22"/>
          <w:szCs w:val="24"/>
          <w:highlight w:val="red"/>
          <w:lang w:val="en-US" w:eastAsia="zh-CN"/>
        </w:rPr>
        <w:t>2024</w:t>
      </w:r>
      <w:r>
        <w:rPr>
          <w:rFonts w:hint="eastAsia" w:asciiTheme="minorEastAsia" w:hAnsiTheme="minorEastAsia"/>
          <w:sz w:val="22"/>
          <w:szCs w:val="24"/>
          <w:highlight w:val="red"/>
        </w:rPr>
        <w:t>年</w:t>
      </w:r>
      <w:r>
        <w:rPr>
          <w:rFonts w:hint="eastAsia" w:asciiTheme="minorEastAsia" w:hAnsiTheme="minorEastAsia"/>
          <w:sz w:val="22"/>
          <w:szCs w:val="24"/>
          <w:highlight w:val="red"/>
          <w:lang w:val="en-US" w:eastAsia="zh-CN"/>
        </w:rPr>
        <w:t>11</w:t>
      </w:r>
      <w:r>
        <w:rPr>
          <w:rFonts w:hint="eastAsia" w:asciiTheme="minorEastAsia" w:hAnsiTheme="minorEastAsia"/>
          <w:sz w:val="22"/>
          <w:szCs w:val="24"/>
          <w:highlight w:val="red"/>
        </w:rPr>
        <w:t xml:space="preserve"> 月</w:t>
      </w:r>
      <w:r>
        <w:rPr>
          <w:rFonts w:hint="eastAsia" w:asciiTheme="minorEastAsia" w:hAnsiTheme="minorEastAsia"/>
          <w:sz w:val="22"/>
          <w:szCs w:val="24"/>
          <w:highlight w:val="red"/>
          <w:lang w:val="en-US" w:eastAsia="zh-CN"/>
        </w:rPr>
        <w:t>28</w:t>
      </w:r>
      <w:r>
        <w:rPr>
          <w:rFonts w:hint="eastAsia" w:asciiTheme="minorEastAsia" w:hAnsiTheme="minorEastAsia"/>
          <w:sz w:val="22"/>
          <w:szCs w:val="24"/>
          <w:highlight w:val="red"/>
        </w:rPr>
        <w:t xml:space="preserve"> 日</w:t>
      </w:r>
      <w:r>
        <w:rPr>
          <w:rFonts w:hint="eastAsia" w:asciiTheme="minorEastAsia" w:hAnsiTheme="minorEastAsia"/>
          <w:sz w:val="22"/>
          <w:szCs w:val="24"/>
          <w:highlight w:val="red"/>
          <w:lang w:val="en-US" w:eastAsia="zh-CN"/>
        </w:rPr>
        <w:t>9：00</w:t>
      </w:r>
      <w:r>
        <w:rPr>
          <w:rFonts w:hint="eastAsia" w:asciiTheme="minorEastAsia" w:hAnsiTheme="minorEastAsia"/>
          <w:sz w:val="22"/>
          <w:szCs w:val="24"/>
          <w:highlight w:val="red"/>
        </w:rPr>
        <w:t xml:space="preserve"> 时</w:t>
      </w:r>
    </w:p>
    <w:p w14:paraId="11EB8921">
      <w:pPr>
        <w:spacing w:line="276" w:lineRule="auto"/>
        <w:ind w:left="860" w:leftChars="200" w:hanging="440" w:hangingChars="200"/>
        <w:rPr>
          <w:rFonts w:asciiTheme="minorEastAsia" w:hAnsiTheme="minorEastAsia"/>
          <w:sz w:val="22"/>
          <w:szCs w:val="24"/>
          <w:highlight w:val="red"/>
        </w:rPr>
      </w:pPr>
      <w:r>
        <w:rPr>
          <w:rFonts w:asciiTheme="minorEastAsia" w:hAnsiTheme="minorEastAsia"/>
          <w:sz w:val="22"/>
          <w:szCs w:val="24"/>
          <w:highlight w:val="red"/>
        </w:rPr>
        <w:t>（2）</w:t>
      </w:r>
      <w:r>
        <w:rPr>
          <w:rFonts w:hint="eastAsia" w:asciiTheme="minorEastAsia" w:hAnsiTheme="minorEastAsia"/>
          <w:sz w:val="22"/>
          <w:szCs w:val="24"/>
          <w:highlight w:val="red"/>
        </w:rPr>
        <w:t xml:space="preserve">开标时间： </w:t>
      </w:r>
      <w:r>
        <w:rPr>
          <w:rFonts w:hint="eastAsia" w:asciiTheme="minorEastAsia" w:hAnsiTheme="minorEastAsia"/>
          <w:sz w:val="22"/>
          <w:szCs w:val="24"/>
          <w:highlight w:val="red"/>
          <w:lang w:val="en-US" w:eastAsia="zh-CN"/>
        </w:rPr>
        <w:t>2024</w:t>
      </w:r>
      <w:r>
        <w:rPr>
          <w:rFonts w:hint="eastAsia" w:asciiTheme="minorEastAsia" w:hAnsiTheme="minorEastAsia"/>
          <w:sz w:val="22"/>
          <w:szCs w:val="24"/>
          <w:highlight w:val="red"/>
        </w:rPr>
        <w:t>年</w:t>
      </w:r>
      <w:r>
        <w:rPr>
          <w:rFonts w:hint="eastAsia" w:asciiTheme="minorEastAsia" w:hAnsiTheme="minorEastAsia"/>
          <w:sz w:val="22"/>
          <w:szCs w:val="24"/>
          <w:highlight w:val="red"/>
          <w:lang w:val="en-US" w:eastAsia="zh-CN"/>
        </w:rPr>
        <w:t>11</w:t>
      </w:r>
      <w:r>
        <w:rPr>
          <w:rFonts w:hint="eastAsia" w:asciiTheme="minorEastAsia" w:hAnsiTheme="minorEastAsia"/>
          <w:sz w:val="22"/>
          <w:szCs w:val="24"/>
          <w:highlight w:val="red"/>
        </w:rPr>
        <w:t xml:space="preserve"> 月</w:t>
      </w:r>
      <w:r>
        <w:rPr>
          <w:rFonts w:hint="eastAsia" w:asciiTheme="minorEastAsia" w:hAnsiTheme="minorEastAsia"/>
          <w:sz w:val="22"/>
          <w:szCs w:val="24"/>
          <w:highlight w:val="red"/>
          <w:lang w:val="en-US" w:eastAsia="zh-CN"/>
        </w:rPr>
        <w:t>28</w:t>
      </w:r>
      <w:r>
        <w:rPr>
          <w:rFonts w:hint="eastAsia" w:asciiTheme="minorEastAsia" w:hAnsiTheme="minorEastAsia"/>
          <w:sz w:val="22"/>
          <w:szCs w:val="24"/>
          <w:highlight w:val="red"/>
        </w:rPr>
        <w:t xml:space="preserve"> 日</w:t>
      </w:r>
      <w:r>
        <w:rPr>
          <w:rFonts w:hint="eastAsia" w:asciiTheme="minorEastAsia" w:hAnsiTheme="minorEastAsia"/>
          <w:sz w:val="22"/>
          <w:szCs w:val="24"/>
          <w:highlight w:val="red"/>
          <w:lang w:val="en-US" w:eastAsia="zh-CN"/>
        </w:rPr>
        <w:t>9：00</w:t>
      </w:r>
      <w:bookmarkStart w:id="5" w:name="_GoBack"/>
      <w:bookmarkEnd w:id="5"/>
      <w:r>
        <w:rPr>
          <w:rFonts w:hint="eastAsia" w:asciiTheme="minorEastAsia" w:hAnsiTheme="minorEastAsia"/>
          <w:sz w:val="22"/>
          <w:szCs w:val="24"/>
          <w:highlight w:val="red"/>
        </w:rPr>
        <w:t xml:space="preserve"> 时（北京时间）。</w:t>
      </w:r>
    </w:p>
    <w:p w14:paraId="13F8618D">
      <w:pPr>
        <w:spacing w:line="276" w:lineRule="auto"/>
        <w:ind w:firstLine="440" w:firstLineChars="200"/>
        <w:rPr>
          <w:rFonts w:hint="eastAsia" w:asciiTheme="minorEastAsia" w:hAnsiTheme="minorEastAsia"/>
          <w:sz w:val="22"/>
          <w:szCs w:val="24"/>
        </w:rPr>
      </w:pPr>
      <w:r>
        <w:rPr>
          <w:rFonts w:asciiTheme="minorEastAsia" w:hAnsiTheme="minorEastAsia"/>
          <w:sz w:val="22"/>
          <w:szCs w:val="24"/>
        </w:rPr>
        <w:t>（3）</w:t>
      </w:r>
      <w:r>
        <w:rPr>
          <w:rFonts w:hint="eastAsia" w:asciiTheme="minorEastAsia" w:hAnsiTheme="minorEastAsia"/>
          <w:sz w:val="22"/>
          <w:szCs w:val="24"/>
        </w:rPr>
        <w:t>开标地点：深圳明德实验学校（集团）</w:t>
      </w:r>
      <w:r>
        <w:rPr>
          <w:rFonts w:hint="eastAsia" w:asciiTheme="minorEastAsia" w:hAnsiTheme="minorEastAsia"/>
          <w:sz w:val="22"/>
          <w:szCs w:val="24"/>
          <w:lang w:val="en-US" w:eastAsia="zh-CN"/>
        </w:rPr>
        <w:t>碧海</w:t>
      </w:r>
      <w:r>
        <w:rPr>
          <w:rFonts w:hint="eastAsia" w:asciiTheme="minorEastAsia" w:hAnsiTheme="minorEastAsia"/>
          <w:sz w:val="22"/>
          <w:szCs w:val="24"/>
        </w:rPr>
        <w:t>校区会议室</w:t>
      </w:r>
    </w:p>
    <w:p w14:paraId="3AC3184B">
      <w:pPr>
        <w:spacing w:line="276" w:lineRule="auto"/>
        <w:ind w:firstLine="440" w:firstLineChars="200"/>
        <w:rPr>
          <w:rFonts w:hint="default" w:asciiTheme="minorEastAsia" w:hAnsiTheme="minorEastAsia"/>
          <w:sz w:val="22"/>
          <w:szCs w:val="24"/>
        </w:rPr>
      </w:pPr>
      <w:r>
        <w:rPr>
          <w:rFonts w:hint="eastAsia" w:asciiTheme="minorEastAsia" w:hAnsiTheme="minorEastAsia"/>
          <w:sz w:val="22"/>
          <w:szCs w:val="24"/>
        </w:rPr>
        <w:t>投标单位须在投标截止时间前，将纸质投标文件递交至深圳明德实验学校（集团）</w:t>
      </w:r>
      <w:r>
        <w:rPr>
          <w:rFonts w:hint="eastAsia" w:asciiTheme="minorEastAsia" w:hAnsiTheme="minorEastAsia"/>
          <w:sz w:val="22"/>
          <w:szCs w:val="24"/>
          <w:lang w:val="en-US" w:eastAsia="zh-CN"/>
        </w:rPr>
        <w:t>碧海</w:t>
      </w:r>
      <w:r>
        <w:rPr>
          <w:rFonts w:hint="eastAsia" w:asciiTheme="minorEastAsia" w:hAnsiTheme="minorEastAsia"/>
          <w:sz w:val="22"/>
          <w:szCs w:val="24"/>
        </w:rPr>
        <w:t>校区保安室，逾期递交的投标文件将被拒绝。</w:t>
      </w:r>
      <w:r>
        <w:rPr>
          <w:rFonts w:asciiTheme="minorEastAsia" w:hAnsiTheme="minorEastAsia"/>
          <w:sz w:val="22"/>
          <w:szCs w:val="24"/>
        </w:rPr>
        <w:t xml:space="preserve"> </w:t>
      </w:r>
    </w:p>
    <w:p w14:paraId="6987C651">
      <w:pPr>
        <w:pStyle w:val="5"/>
        <w:spacing w:line="276" w:lineRule="auto"/>
        <w:ind w:firstLine="450"/>
        <w:rPr>
          <w:rFonts w:hint="default" w:asciiTheme="minorEastAsia" w:hAnsiTheme="minorEastAsia"/>
          <w:sz w:val="22"/>
          <w:szCs w:val="24"/>
        </w:rPr>
      </w:pPr>
      <w:r>
        <w:rPr>
          <w:rFonts w:asciiTheme="minorEastAsia" w:hAnsiTheme="minorEastAsia"/>
          <w:sz w:val="22"/>
          <w:szCs w:val="24"/>
        </w:rPr>
        <w:t>（4）如有任何疑问，请与我们联系：</w:t>
      </w:r>
    </w:p>
    <w:p w14:paraId="18CFFFCC">
      <w:pPr>
        <w:pStyle w:val="5"/>
        <w:spacing w:line="276" w:lineRule="auto"/>
        <w:ind w:firstLine="450"/>
        <w:rPr>
          <w:rFonts w:hint="eastAsia" w:asciiTheme="minorEastAsia" w:hAnsiTheme="minorEastAsia" w:eastAsiaTheme="minorEastAsia"/>
          <w:sz w:val="22"/>
          <w:szCs w:val="24"/>
          <w:lang w:val="en-US" w:eastAsia="zh-CN"/>
        </w:rPr>
      </w:pPr>
      <w:r>
        <w:rPr>
          <w:rFonts w:asciiTheme="minorEastAsia" w:hAnsiTheme="minorEastAsia"/>
          <w:sz w:val="22"/>
          <w:szCs w:val="24"/>
        </w:rPr>
        <w:t>联 系 人：</w:t>
      </w:r>
      <w:r>
        <w:rPr>
          <w:rFonts w:hint="default" w:asciiTheme="minorEastAsia" w:hAnsiTheme="minorEastAsia"/>
          <w:sz w:val="22"/>
          <w:szCs w:val="24"/>
        </w:rPr>
        <w:t xml:space="preserve"> </w:t>
      </w:r>
      <w:r>
        <w:rPr>
          <w:rFonts w:hint="eastAsia" w:asciiTheme="minorEastAsia" w:hAnsiTheme="minorEastAsia"/>
          <w:sz w:val="22"/>
          <w:szCs w:val="24"/>
          <w:lang w:val="en-US" w:eastAsia="zh-CN"/>
        </w:rPr>
        <w:t>邢老师</w:t>
      </w:r>
    </w:p>
    <w:p w14:paraId="7E94FDF0">
      <w:pPr>
        <w:pStyle w:val="5"/>
        <w:spacing w:line="276" w:lineRule="auto"/>
        <w:ind w:firstLine="450"/>
        <w:rPr>
          <w:rFonts w:hint="default" w:asciiTheme="minorEastAsia" w:hAnsiTheme="minorEastAsia"/>
          <w:sz w:val="22"/>
          <w:szCs w:val="24"/>
        </w:rPr>
      </w:pPr>
      <w:r>
        <w:rPr>
          <w:rFonts w:asciiTheme="minorEastAsia" w:hAnsiTheme="minorEastAsia"/>
          <w:sz w:val="22"/>
          <w:szCs w:val="24"/>
        </w:rPr>
        <w:t>电　　话：</w:t>
      </w:r>
      <w:r>
        <w:rPr>
          <w:rFonts w:asciiTheme="minorEastAsia" w:hAnsiTheme="minorEastAsia"/>
          <w:sz w:val="22"/>
        </w:rPr>
        <w:t>0755-</w:t>
      </w:r>
      <w:r>
        <w:rPr>
          <w:rFonts w:hint="default" w:asciiTheme="minorEastAsia" w:hAnsiTheme="minorEastAsia"/>
          <w:sz w:val="22"/>
        </w:rPr>
        <w:t>26934666</w:t>
      </w:r>
    </w:p>
    <w:p w14:paraId="34DECF4F">
      <w:pPr>
        <w:pStyle w:val="5"/>
        <w:spacing w:line="276" w:lineRule="auto"/>
        <w:ind w:firstLine="450"/>
        <w:rPr>
          <w:rFonts w:hint="default" w:asciiTheme="minorEastAsia" w:hAnsiTheme="minorEastAsia"/>
          <w:sz w:val="22"/>
          <w:szCs w:val="24"/>
        </w:rPr>
      </w:pPr>
      <w:r>
        <w:rPr>
          <w:rFonts w:asciiTheme="minorEastAsia" w:hAnsiTheme="minorEastAsia"/>
          <w:sz w:val="22"/>
          <w:szCs w:val="24"/>
        </w:rPr>
        <w:t>通讯地址：深圳明德实验学校（集团）</w:t>
      </w:r>
      <w:r>
        <w:rPr>
          <w:rFonts w:hint="eastAsia" w:asciiTheme="minorEastAsia" w:hAnsiTheme="minorEastAsia"/>
          <w:sz w:val="22"/>
          <w:szCs w:val="24"/>
          <w:lang w:val="en-US" w:eastAsia="zh-CN"/>
        </w:rPr>
        <w:t>碧海</w:t>
      </w:r>
      <w:r>
        <w:rPr>
          <w:rFonts w:asciiTheme="minorEastAsia" w:hAnsiTheme="minorEastAsia"/>
          <w:sz w:val="22"/>
          <w:szCs w:val="24"/>
        </w:rPr>
        <w:t>校区</w:t>
      </w:r>
    </w:p>
    <w:p w14:paraId="62C3CB8F">
      <w:pPr>
        <w:pStyle w:val="5"/>
        <w:spacing w:after="0" w:line="276" w:lineRule="auto"/>
        <w:rPr>
          <w:rFonts w:hint="default" w:asciiTheme="minorEastAsia" w:hAnsiTheme="minorEastAsia"/>
          <w:b/>
          <w:sz w:val="22"/>
          <w:szCs w:val="24"/>
        </w:rPr>
      </w:pPr>
      <w:r>
        <w:rPr>
          <w:rFonts w:asciiTheme="minorEastAsia" w:hAnsiTheme="minorEastAsia"/>
          <w:b/>
          <w:sz w:val="22"/>
          <w:szCs w:val="24"/>
        </w:rPr>
        <w:t>3、本公告发布网站：</w:t>
      </w:r>
    </w:p>
    <w:p w14:paraId="0C652031">
      <w:pPr>
        <w:ind w:firstLine="420"/>
        <w:rPr>
          <w:rFonts w:hint="eastAsia" w:asciiTheme="minorEastAsia" w:hAnsiTheme="minorEastAsia" w:eastAsiaTheme="minorEastAsia" w:cstheme="minorBidi"/>
          <w:kern w:val="2"/>
          <w:sz w:val="22"/>
          <w:szCs w:val="24"/>
          <w:shd w:val="clear" w:color="auto" w:fill="FFFFFF"/>
          <w:lang w:val="en-US" w:eastAsia="zh-CN" w:bidi="ar-SA"/>
        </w:rPr>
      </w:pPr>
      <w:r>
        <w:rPr>
          <w:rFonts w:hint="eastAsia" w:asciiTheme="minorEastAsia" w:hAnsiTheme="minorEastAsia" w:eastAsiaTheme="minorEastAsia" w:cstheme="minorBidi"/>
          <w:kern w:val="2"/>
          <w:sz w:val="22"/>
          <w:szCs w:val="24"/>
          <w:shd w:val="clear" w:color="auto" w:fill="FFFFFF"/>
          <w:lang w:val="en-US" w:eastAsia="zh-CN" w:bidi="ar-SA"/>
        </w:rPr>
        <w:t>深圳明德实验学校（集团）</w:t>
      </w:r>
    </w:p>
    <w:p w14:paraId="311E3C69">
      <w:pPr>
        <w:pStyle w:val="5"/>
        <w:spacing w:line="276" w:lineRule="auto"/>
        <w:ind w:firstLine="450"/>
        <w:rPr>
          <w:rFonts w:hint="default" w:asciiTheme="minorEastAsia" w:hAnsiTheme="minorEastAsia" w:eastAsiaTheme="minorEastAsia" w:cstheme="minorBidi"/>
          <w:kern w:val="2"/>
          <w:sz w:val="22"/>
          <w:szCs w:val="24"/>
          <w:shd w:val="clear" w:color="auto" w:fill="FFFFFF"/>
          <w:lang w:val="en-US" w:eastAsia="zh-CN" w:bidi="ar-SA"/>
        </w:rPr>
      </w:pPr>
      <w:r>
        <w:rPr>
          <w:rFonts w:hint="eastAsia" w:asciiTheme="minorEastAsia" w:hAnsiTheme="minorEastAsia" w:eastAsiaTheme="minorEastAsia" w:cstheme="minorBidi"/>
          <w:kern w:val="2"/>
          <w:sz w:val="22"/>
          <w:szCs w:val="24"/>
          <w:shd w:val="clear" w:color="auto" w:fill="FFFFFF"/>
          <w:lang w:val="en-US" w:eastAsia="zh-CN" w:bidi="ar-SA"/>
        </w:rPr>
        <w:t>https://mdsy.szftedu.cn/</w:t>
      </w:r>
    </w:p>
    <w:p w14:paraId="70006248">
      <w:pPr>
        <w:autoSpaceDE w:val="0"/>
        <w:autoSpaceDN w:val="0"/>
        <w:adjustRightInd w:val="0"/>
        <w:spacing w:line="480" w:lineRule="auto"/>
        <w:outlineLvl w:val="0"/>
        <w:rPr>
          <w:rFonts w:asciiTheme="minorEastAsia" w:hAnsiTheme="minorEastAsia"/>
          <w:b/>
          <w:sz w:val="22"/>
          <w:szCs w:val="24"/>
          <w:lang w:val="zh-CN"/>
        </w:rPr>
      </w:pPr>
      <w:r>
        <w:rPr>
          <w:rFonts w:asciiTheme="minorEastAsia" w:hAnsiTheme="minorEastAsia"/>
          <w:b/>
          <w:sz w:val="22"/>
          <w:szCs w:val="24"/>
          <w:lang w:val="zh-CN"/>
        </w:rPr>
        <w:t>二、投标人资格要求：</w:t>
      </w:r>
    </w:p>
    <w:p w14:paraId="59C751B3">
      <w:pPr>
        <w:pStyle w:val="5"/>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1、投标人必须是在中华人民共和国境内注册并合法运作的独立法人机构，具有合法经营范围，提供工商行政管理部门颁发的《营业执照》副本复印件（加盖公章）。</w:t>
      </w:r>
    </w:p>
    <w:p w14:paraId="4E962F72">
      <w:pPr>
        <w:pStyle w:val="5"/>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2、投标人在政府采购项目中，近三年内无因经营中违法违规的记录，无骗取中标、严重违约及重大安全及质量问题之一。在执行项目过程中，能严格执行合同和投标承诺。</w:t>
      </w:r>
    </w:p>
    <w:p w14:paraId="72A70612">
      <w:pPr>
        <w:pStyle w:val="5"/>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3、本项目不接受联合体投标，不允许分包。</w:t>
      </w:r>
    </w:p>
    <w:p w14:paraId="0CA0E2B1">
      <w:pPr>
        <w:autoSpaceDE w:val="0"/>
        <w:autoSpaceDN w:val="0"/>
        <w:adjustRightInd w:val="0"/>
        <w:spacing w:line="480" w:lineRule="auto"/>
        <w:outlineLvl w:val="0"/>
        <w:rPr>
          <w:rFonts w:asciiTheme="minorEastAsia" w:hAnsiTheme="minorEastAsia"/>
          <w:b/>
          <w:sz w:val="22"/>
          <w:szCs w:val="24"/>
          <w:lang w:val="zh-CN"/>
        </w:rPr>
      </w:pPr>
      <w:r>
        <w:rPr>
          <w:rFonts w:asciiTheme="minorEastAsia" w:hAnsiTheme="minorEastAsia"/>
          <w:b/>
          <w:sz w:val="22"/>
          <w:szCs w:val="24"/>
          <w:lang w:val="zh-CN"/>
        </w:rPr>
        <w:t>三、投标人必须提交的资料：</w:t>
      </w:r>
    </w:p>
    <w:p w14:paraId="13256769">
      <w:pPr>
        <w:pStyle w:val="5"/>
        <w:spacing w:after="0" w:line="276" w:lineRule="auto"/>
        <w:rPr>
          <w:rFonts w:hint="default" w:asciiTheme="minorEastAsia" w:hAnsiTheme="minorEastAsia"/>
          <w:sz w:val="22"/>
          <w:szCs w:val="24"/>
        </w:rPr>
      </w:pPr>
      <w:r>
        <w:rPr>
          <w:rFonts w:asciiTheme="minorEastAsia" w:hAnsiTheme="minorEastAsia"/>
          <w:sz w:val="22"/>
          <w:szCs w:val="24"/>
        </w:rPr>
        <w:t>按以下顺序排放投标文件：</w:t>
      </w:r>
    </w:p>
    <w:p w14:paraId="1CFCE915">
      <w:pPr>
        <w:pStyle w:val="5"/>
        <w:rPr>
          <w:rFonts w:hint="default" w:asciiTheme="minorEastAsia" w:hAnsiTheme="minorEastAsia"/>
          <w:sz w:val="22"/>
          <w:szCs w:val="24"/>
        </w:rPr>
      </w:pPr>
      <w:bookmarkStart w:id="0" w:name="_Hlk75791893"/>
      <w:r>
        <w:rPr>
          <w:rFonts w:asciiTheme="minorEastAsia" w:hAnsiTheme="minorEastAsia"/>
          <w:sz w:val="22"/>
          <w:szCs w:val="24"/>
        </w:rPr>
        <w:t>1、投标承诺书</w:t>
      </w:r>
    </w:p>
    <w:p w14:paraId="2D869E7A">
      <w:pPr>
        <w:pStyle w:val="5"/>
        <w:rPr>
          <w:rFonts w:hint="default" w:asciiTheme="minorEastAsia" w:hAnsiTheme="minorEastAsia"/>
          <w:sz w:val="22"/>
          <w:szCs w:val="24"/>
        </w:rPr>
      </w:pPr>
      <w:r>
        <w:rPr>
          <w:rFonts w:asciiTheme="minorEastAsia" w:hAnsiTheme="minorEastAsia"/>
          <w:sz w:val="22"/>
          <w:szCs w:val="24"/>
        </w:rPr>
        <w:t>2、开标一览表</w:t>
      </w:r>
    </w:p>
    <w:p w14:paraId="207A6B9D">
      <w:pPr>
        <w:pStyle w:val="5"/>
        <w:rPr>
          <w:rFonts w:hint="default" w:asciiTheme="minorEastAsia" w:hAnsiTheme="minorEastAsia"/>
          <w:sz w:val="22"/>
          <w:szCs w:val="24"/>
        </w:rPr>
      </w:pPr>
      <w:r>
        <w:rPr>
          <w:rFonts w:asciiTheme="minorEastAsia" w:hAnsiTheme="minorEastAsia"/>
          <w:sz w:val="22"/>
          <w:szCs w:val="24"/>
        </w:rPr>
        <w:t>3、分项报价清单</w:t>
      </w:r>
    </w:p>
    <w:p w14:paraId="137F2FD8">
      <w:pPr>
        <w:pStyle w:val="5"/>
        <w:rPr>
          <w:rFonts w:hint="default" w:asciiTheme="minorEastAsia" w:hAnsiTheme="minorEastAsia"/>
          <w:sz w:val="22"/>
          <w:szCs w:val="24"/>
        </w:rPr>
      </w:pPr>
      <w:r>
        <w:rPr>
          <w:rFonts w:asciiTheme="minorEastAsia" w:hAnsiTheme="minorEastAsia"/>
          <w:sz w:val="22"/>
          <w:szCs w:val="24"/>
        </w:rPr>
        <w:t>4、法定代表人证明书</w:t>
      </w:r>
    </w:p>
    <w:p w14:paraId="115B21BA">
      <w:pPr>
        <w:pStyle w:val="5"/>
        <w:rPr>
          <w:rFonts w:hint="default" w:asciiTheme="minorEastAsia" w:hAnsiTheme="minorEastAsia"/>
          <w:sz w:val="22"/>
          <w:szCs w:val="24"/>
        </w:rPr>
      </w:pPr>
      <w:r>
        <w:rPr>
          <w:rFonts w:asciiTheme="minorEastAsia" w:hAnsiTheme="minorEastAsia"/>
          <w:sz w:val="22"/>
          <w:szCs w:val="24"/>
        </w:rPr>
        <w:t>5、法人授权委托证明书</w:t>
      </w:r>
    </w:p>
    <w:p w14:paraId="70298F25">
      <w:pPr>
        <w:pStyle w:val="5"/>
        <w:rPr>
          <w:rFonts w:hint="default" w:asciiTheme="minorEastAsia" w:hAnsiTheme="minorEastAsia"/>
          <w:sz w:val="22"/>
          <w:szCs w:val="24"/>
        </w:rPr>
      </w:pPr>
      <w:r>
        <w:rPr>
          <w:rFonts w:asciiTheme="minorEastAsia" w:hAnsiTheme="minorEastAsia"/>
          <w:sz w:val="22"/>
          <w:szCs w:val="24"/>
        </w:rPr>
        <w:t>6、技术需求偏离表</w:t>
      </w:r>
    </w:p>
    <w:p w14:paraId="05656F96">
      <w:pPr>
        <w:pStyle w:val="5"/>
        <w:rPr>
          <w:rFonts w:hint="default" w:asciiTheme="minorEastAsia" w:hAnsiTheme="minorEastAsia"/>
          <w:sz w:val="22"/>
          <w:szCs w:val="24"/>
        </w:rPr>
      </w:pPr>
      <w:r>
        <w:rPr>
          <w:rFonts w:asciiTheme="minorEastAsia" w:hAnsiTheme="minorEastAsia"/>
          <w:sz w:val="22"/>
          <w:szCs w:val="24"/>
        </w:rPr>
        <w:t>7、商务需求偏离表</w:t>
      </w:r>
    </w:p>
    <w:p w14:paraId="1F768BC3">
      <w:pPr>
        <w:pStyle w:val="5"/>
        <w:rPr>
          <w:rFonts w:hint="default" w:asciiTheme="minorEastAsia" w:hAnsiTheme="minorEastAsia"/>
          <w:sz w:val="22"/>
          <w:szCs w:val="24"/>
        </w:rPr>
      </w:pPr>
      <w:r>
        <w:rPr>
          <w:rFonts w:hint="default" w:asciiTheme="minorEastAsia" w:hAnsiTheme="minorEastAsia"/>
          <w:sz w:val="22"/>
          <w:szCs w:val="24"/>
        </w:rPr>
        <w:t>8</w:t>
      </w:r>
      <w:r>
        <w:rPr>
          <w:rFonts w:asciiTheme="minorEastAsia" w:hAnsiTheme="minorEastAsia"/>
          <w:sz w:val="22"/>
          <w:szCs w:val="24"/>
        </w:rPr>
        <w:t>、同类项目业绩</w:t>
      </w:r>
    </w:p>
    <w:p w14:paraId="21DC6925">
      <w:pPr>
        <w:pStyle w:val="5"/>
        <w:spacing w:after="0"/>
        <w:rPr>
          <w:rFonts w:hint="default" w:asciiTheme="minorEastAsia" w:hAnsiTheme="minorEastAsia"/>
          <w:sz w:val="22"/>
          <w:szCs w:val="24"/>
        </w:rPr>
      </w:pPr>
      <w:r>
        <w:rPr>
          <w:rFonts w:hint="default" w:asciiTheme="minorEastAsia" w:hAnsiTheme="minorEastAsia"/>
          <w:sz w:val="22"/>
          <w:szCs w:val="24"/>
        </w:rPr>
        <w:t>9</w:t>
      </w:r>
      <w:r>
        <w:rPr>
          <w:rFonts w:asciiTheme="minorEastAsia" w:hAnsiTheme="minorEastAsia"/>
          <w:sz w:val="22"/>
          <w:szCs w:val="24"/>
        </w:rPr>
        <w:t>、其它</w:t>
      </w:r>
    </w:p>
    <w:bookmarkEnd w:id="0"/>
    <w:p w14:paraId="1FBA77DA">
      <w:pPr>
        <w:autoSpaceDE w:val="0"/>
        <w:autoSpaceDN w:val="0"/>
        <w:adjustRightInd w:val="0"/>
        <w:spacing w:line="480" w:lineRule="auto"/>
        <w:outlineLvl w:val="0"/>
        <w:rPr>
          <w:rFonts w:asciiTheme="minorEastAsia" w:hAnsiTheme="minorEastAsia"/>
          <w:b/>
          <w:sz w:val="22"/>
          <w:szCs w:val="24"/>
          <w:lang w:val="zh-CN"/>
        </w:rPr>
      </w:pPr>
    </w:p>
    <w:p w14:paraId="4F949DA4">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四、投标书形式</w:t>
      </w:r>
    </w:p>
    <w:p w14:paraId="1370864E">
      <w:pPr>
        <w:pStyle w:val="5"/>
        <w:ind w:firstLine="440" w:firstLineChars="200"/>
        <w:rPr>
          <w:rFonts w:asciiTheme="minorEastAsia" w:hAnsiTheme="minorEastAsia"/>
          <w:sz w:val="22"/>
          <w:szCs w:val="24"/>
        </w:rPr>
      </w:pPr>
      <w:r>
        <w:rPr>
          <w:rFonts w:hint="eastAsia" w:asciiTheme="minorEastAsia" w:hAnsiTheme="minorEastAsia"/>
          <w:sz w:val="22"/>
          <w:szCs w:val="24"/>
        </w:rPr>
        <w:t>投标方须准备投标书。投标文件提供一式三份（1正2副）、开标一览表（包括：开标一览表、法定代表人证明书或法人授权委托证明书）。</w:t>
      </w:r>
    </w:p>
    <w:p w14:paraId="5EDD1D20">
      <w:pPr>
        <w:autoSpaceDE w:val="0"/>
        <w:autoSpaceDN w:val="0"/>
        <w:adjustRightInd w:val="0"/>
        <w:spacing w:line="480" w:lineRule="auto"/>
        <w:outlineLvl w:val="0"/>
        <w:rPr>
          <w:rFonts w:asciiTheme="minorEastAsia" w:hAnsiTheme="minorEastAsia"/>
          <w:b/>
          <w:sz w:val="22"/>
          <w:szCs w:val="24"/>
          <w:lang w:val="zh-CN"/>
        </w:rPr>
      </w:pPr>
    </w:p>
    <w:p w14:paraId="63B336B4">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五、项目需求</w:t>
      </w:r>
    </w:p>
    <w:p w14:paraId="6D468EAD">
      <w:pPr>
        <w:jc w:val="center"/>
        <w:rPr>
          <w:b/>
          <w:bCs/>
        </w:rPr>
      </w:pPr>
      <w:r>
        <w:rPr>
          <w:rFonts w:hint="eastAsia"/>
          <w:b/>
          <w:bCs/>
        </w:rPr>
        <w:t>（一）商务需求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7499"/>
      </w:tblGrid>
      <w:tr w14:paraId="28C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vAlign w:val="center"/>
          </w:tcPr>
          <w:p w14:paraId="46DC6348">
            <w:pPr>
              <w:ind w:left="0" w:leftChars="0" w:right="0" w:rightChars="0" w:firstLine="0" w:firstLineChars="0"/>
              <w:jc w:val="center"/>
              <w:rPr>
                <w:rFonts w:hint="eastAsia" w:asciiTheme="minorEastAsia" w:hAnsiTheme="minorEastAsia"/>
                <w:sz w:val="22"/>
                <w:szCs w:val="24"/>
              </w:rPr>
            </w:pPr>
            <w:r>
              <w:rPr>
                <w:rFonts w:hint="eastAsia" w:asciiTheme="minorEastAsia" w:hAnsiTheme="minorEastAsia"/>
                <w:sz w:val="22"/>
                <w:szCs w:val="24"/>
              </w:rPr>
              <w:t>序号</w:t>
            </w:r>
          </w:p>
        </w:tc>
        <w:tc>
          <w:tcPr>
            <w:tcW w:w="4399" w:type="pct"/>
            <w:vAlign w:val="center"/>
          </w:tcPr>
          <w:p w14:paraId="0FD9924F">
            <w:pPr>
              <w:ind w:left="0" w:leftChars="0" w:right="0" w:rightChars="0" w:firstLine="0" w:firstLineChars="0"/>
              <w:jc w:val="center"/>
              <w:rPr>
                <w:rFonts w:hint="eastAsia" w:asciiTheme="minorEastAsia" w:hAnsiTheme="minorEastAsia"/>
                <w:sz w:val="22"/>
                <w:szCs w:val="24"/>
              </w:rPr>
            </w:pPr>
            <w:r>
              <w:rPr>
                <w:rFonts w:hint="eastAsia" w:asciiTheme="minorEastAsia" w:hAnsiTheme="minorEastAsia"/>
                <w:sz w:val="22"/>
                <w:szCs w:val="24"/>
              </w:rPr>
              <w:t>招标文件商务条款</w:t>
            </w:r>
          </w:p>
        </w:tc>
      </w:tr>
      <w:tr w14:paraId="64D6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167686C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4399" w:type="pct"/>
          </w:tcPr>
          <w:p w14:paraId="5C1D230F">
            <w:pPr>
              <w:rPr>
                <w:rFonts w:asciiTheme="minorEastAsia" w:hAnsiTheme="minorEastAsia"/>
                <w:sz w:val="22"/>
                <w:szCs w:val="24"/>
              </w:rPr>
            </w:pPr>
            <w:r>
              <w:rPr>
                <w:rFonts w:hint="eastAsia" w:asciiTheme="minorEastAsia" w:hAnsiTheme="minorEastAsia"/>
                <w:sz w:val="22"/>
                <w:szCs w:val="24"/>
              </w:rPr>
              <w:t>报价要求</w:t>
            </w:r>
            <w:r>
              <w:rPr>
                <w:rFonts w:hint="eastAsia" w:asciiTheme="minorEastAsia" w:hAnsiTheme="minorEastAsia"/>
                <w:sz w:val="22"/>
                <w:szCs w:val="24"/>
                <w:lang w:eastAsia="zh-CN"/>
              </w:rPr>
              <w:t>：</w:t>
            </w:r>
            <w:r>
              <w:rPr>
                <w:rFonts w:hint="eastAsia" w:asciiTheme="minorEastAsia" w:hAnsiTheme="minorEastAsia"/>
                <w:sz w:val="22"/>
                <w:szCs w:val="24"/>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14:paraId="2104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219F65EF">
            <w:pPr>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4399" w:type="pct"/>
            <w:vAlign w:val="center"/>
          </w:tcPr>
          <w:p w14:paraId="7B16493A">
            <w:pPr>
              <w:rPr>
                <w:rFonts w:asciiTheme="minorEastAsia" w:hAnsiTheme="minorEastAsia"/>
                <w:sz w:val="22"/>
                <w:szCs w:val="24"/>
              </w:rPr>
            </w:pPr>
            <w:r>
              <w:rPr>
                <w:rFonts w:hint="eastAsia" w:asciiTheme="minorEastAsia" w:hAnsiTheme="minorEastAsia"/>
                <w:sz w:val="22"/>
                <w:szCs w:val="24"/>
                <w:lang w:eastAsia="zh-CN"/>
              </w:rPr>
              <w:t>交货地点：</w:t>
            </w:r>
            <w:r>
              <w:rPr>
                <w:rFonts w:asciiTheme="minorEastAsia" w:hAnsiTheme="minorEastAsia"/>
                <w:sz w:val="22"/>
                <w:szCs w:val="24"/>
              </w:rPr>
              <w:t>深圳明德实验学校（集团）</w:t>
            </w:r>
            <w:r>
              <w:rPr>
                <w:rFonts w:hint="eastAsia" w:asciiTheme="minorEastAsia" w:hAnsiTheme="minorEastAsia"/>
                <w:sz w:val="22"/>
                <w:szCs w:val="24"/>
                <w:lang w:val="en-US" w:eastAsia="zh-CN"/>
              </w:rPr>
              <w:t>碧海</w:t>
            </w:r>
            <w:r>
              <w:rPr>
                <w:rFonts w:asciiTheme="minorEastAsia" w:hAnsiTheme="minorEastAsia"/>
                <w:sz w:val="22"/>
                <w:szCs w:val="24"/>
              </w:rPr>
              <w:t>校区</w:t>
            </w:r>
          </w:p>
        </w:tc>
      </w:tr>
      <w:tr w14:paraId="7827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3A3B463F">
            <w:pPr>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4399" w:type="pct"/>
            <w:vAlign w:val="center"/>
          </w:tcPr>
          <w:p w14:paraId="0F02C40B">
            <w:pPr>
              <w:rPr>
                <w:rFonts w:asciiTheme="minorEastAsia" w:hAnsiTheme="minorEastAsia"/>
                <w:sz w:val="22"/>
                <w:szCs w:val="24"/>
              </w:rPr>
            </w:pPr>
            <w:r>
              <w:rPr>
                <w:rFonts w:hint="eastAsia" w:asciiTheme="minorEastAsia" w:hAnsiTheme="minorEastAsia"/>
                <w:sz w:val="22"/>
                <w:szCs w:val="24"/>
                <w:lang w:eastAsia="zh-CN"/>
              </w:rPr>
              <w:t>交货期或完工期：本项目要求在进场施工日起20个日历日内完工，进场施工时间由采购人确定。</w:t>
            </w:r>
          </w:p>
        </w:tc>
      </w:tr>
      <w:tr w14:paraId="46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21A75E68">
            <w:pPr>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4399" w:type="pct"/>
            <w:vAlign w:val="center"/>
          </w:tcPr>
          <w:p w14:paraId="2CDD75DA">
            <w:pPr>
              <w:rPr>
                <w:rFonts w:hint="default" w:asciiTheme="minorEastAsia" w:hAnsiTheme="minorEastAsia"/>
                <w:sz w:val="22"/>
                <w:szCs w:val="24"/>
                <w:lang w:val="en-US"/>
              </w:rPr>
            </w:pPr>
            <w:r>
              <w:rPr>
                <w:rFonts w:hint="eastAsia" w:asciiTheme="minorEastAsia" w:hAnsiTheme="minorEastAsia"/>
                <w:sz w:val="22"/>
                <w:szCs w:val="24"/>
                <w:lang w:eastAsia="zh-CN"/>
              </w:rPr>
              <w:t>付款方式：本项目完成并经验收合格后，对于满足合同约定支付条件的，采购人应当自收到发票后15日内将资金支付到合同约定的中标供应商账户。</w:t>
            </w:r>
          </w:p>
        </w:tc>
      </w:tr>
      <w:tr w14:paraId="596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3F470813">
            <w:pPr>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4399" w:type="pct"/>
            <w:vAlign w:val="center"/>
          </w:tcPr>
          <w:p w14:paraId="230D89BC">
            <w:pPr>
              <w:rPr>
                <w:rFonts w:asciiTheme="minorEastAsia" w:hAnsiTheme="minorEastAsia"/>
                <w:sz w:val="22"/>
                <w:szCs w:val="24"/>
              </w:rPr>
            </w:pPr>
            <w:r>
              <w:rPr>
                <w:rFonts w:hint="eastAsia" w:asciiTheme="minorEastAsia" w:hAnsiTheme="minorEastAsia"/>
                <w:sz w:val="22"/>
                <w:szCs w:val="24"/>
                <w:lang w:eastAsia="zh-CN"/>
              </w:rPr>
              <w:t>验收方式：由采购单位组织验收小组进行验收。</w:t>
            </w:r>
          </w:p>
        </w:tc>
      </w:tr>
      <w:tr w14:paraId="5DD3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48136CDF">
            <w:pPr>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4399" w:type="pct"/>
          </w:tcPr>
          <w:p w14:paraId="73548D2E">
            <w:pPr>
              <w:rPr>
                <w:rFonts w:hint="eastAsia" w:asciiTheme="minorEastAsia" w:hAnsiTheme="minorEastAsia"/>
                <w:sz w:val="22"/>
                <w:szCs w:val="24"/>
                <w:lang w:eastAsia="zh-CN"/>
              </w:rPr>
            </w:pPr>
            <w:r>
              <w:rPr>
                <w:rFonts w:hint="eastAsia" w:asciiTheme="minorEastAsia" w:hAnsiTheme="minorEastAsia"/>
                <w:sz w:val="22"/>
                <w:szCs w:val="24"/>
                <w:lang w:eastAsia="zh-CN"/>
              </w:rPr>
              <w:t>售后服务要求：（1）要求中标方对本项目所采购的各项货物及货物集成提供5年的质保期。</w:t>
            </w:r>
          </w:p>
          <w:p w14:paraId="3EE46E37">
            <w:pPr>
              <w:rPr>
                <w:rFonts w:hint="eastAsia" w:asciiTheme="minorEastAsia" w:hAnsiTheme="minorEastAsia"/>
                <w:sz w:val="22"/>
                <w:szCs w:val="24"/>
                <w:lang w:eastAsia="zh-CN"/>
              </w:rPr>
            </w:pPr>
            <w:r>
              <w:rPr>
                <w:rFonts w:hint="eastAsia" w:asciiTheme="minorEastAsia" w:hAnsiTheme="minorEastAsia"/>
                <w:sz w:val="22"/>
                <w:szCs w:val="24"/>
                <w:lang w:eastAsia="zh-CN"/>
              </w:rPr>
              <w:t>（2）要求中标方在交货完成后一周内，免费向用户方进行技术培训工作。</w:t>
            </w:r>
          </w:p>
          <w:p w14:paraId="74042A84">
            <w:pPr>
              <w:rPr>
                <w:rFonts w:hint="eastAsia" w:asciiTheme="minorEastAsia" w:hAnsiTheme="minorEastAsia"/>
                <w:sz w:val="22"/>
                <w:szCs w:val="24"/>
                <w:lang w:eastAsia="zh-CN"/>
              </w:rPr>
            </w:pPr>
            <w:r>
              <w:rPr>
                <w:rFonts w:hint="eastAsia" w:asciiTheme="minorEastAsia" w:hAnsiTheme="minorEastAsia"/>
                <w:sz w:val="22"/>
                <w:szCs w:val="24"/>
                <w:lang w:eastAsia="zh-CN"/>
              </w:rPr>
              <w:t>（3）在保修期内，一旦发生质量问题，投标人保证在接到通知1小时内赶到现场进行修理或更换，并承诺24小时内修复。</w:t>
            </w:r>
          </w:p>
          <w:p w14:paraId="6C5D8F08">
            <w:pPr>
              <w:rPr>
                <w:rFonts w:asciiTheme="minorEastAsia" w:hAnsiTheme="minorEastAsia"/>
                <w:sz w:val="22"/>
                <w:szCs w:val="24"/>
              </w:rPr>
            </w:pPr>
            <w:r>
              <w:rPr>
                <w:rFonts w:hint="eastAsia" w:asciiTheme="minorEastAsia" w:hAnsiTheme="minorEastAsia"/>
                <w:sz w:val="22"/>
                <w:szCs w:val="24"/>
                <w:lang w:eastAsia="zh-CN"/>
              </w:rPr>
              <w:t>（4）对保修期外采购方设备发生故障需更换的，投标人免收上门服务费，并以优惠价格提供配件。</w:t>
            </w:r>
          </w:p>
        </w:tc>
      </w:tr>
      <w:tr w14:paraId="1667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tcPr>
          <w:p w14:paraId="070E6B25">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4399" w:type="pct"/>
          </w:tcPr>
          <w:p w14:paraId="27D7A1D0">
            <w:pPr>
              <w:rPr>
                <w:rFonts w:asciiTheme="minorEastAsia" w:hAnsiTheme="minorEastAsia"/>
                <w:sz w:val="22"/>
                <w:szCs w:val="24"/>
              </w:rPr>
            </w:pPr>
            <w:r>
              <w:rPr>
                <w:rFonts w:hint="eastAsia" w:asciiTheme="minorEastAsia" w:hAnsiTheme="minorEastAsia"/>
                <w:sz w:val="22"/>
                <w:szCs w:val="24"/>
                <w:lang w:eastAsia="zh-CN"/>
              </w:rPr>
              <w:t>包装及运输要求：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bl>
    <w:p w14:paraId="2EABF230">
      <w:pPr>
        <w:rPr>
          <w:rFonts w:ascii="Times New Roman" w:hAnsi="Times New Roman" w:eastAsia="宋体" w:cs="Times New Roman"/>
          <w:szCs w:val="24"/>
        </w:rPr>
        <w:sectPr>
          <w:footerReference r:id="rId3" w:type="default"/>
          <w:pgSz w:w="11906" w:h="16838"/>
          <w:pgMar w:top="1440" w:right="1800" w:bottom="1440" w:left="1800" w:header="851" w:footer="992" w:gutter="0"/>
          <w:cols w:space="425" w:num="1"/>
          <w:docGrid w:type="lines" w:linePitch="312" w:charSpace="0"/>
        </w:sectPr>
      </w:pPr>
    </w:p>
    <w:p w14:paraId="340034AB">
      <w:pPr>
        <w:jc w:val="center"/>
        <w:rPr>
          <w:b/>
          <w:bCs/>
        </w:rPr>
      </w:pPr>
      <w:r>
        <w:rPr>
          <w:rFonts w:hint="eastAsia"/>
          <w:b/>
          <w:bCs/>
        </w:rPr>
        <w:t>（二）技术需求说明</w:t>
      </w:r>
    </w:p>
    <w:tbl>
      <w:tblPr>
        <w:tblStyle w:val="1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25"/>
        <w:gridCol w:w="5780"/>
        <w:gridCol w:w="712"/>
        <w:gridCol w:w="825"/>
        <w:gridCol w:w="672"/>
      </w:tblGrid>
      <w:tr w14:paraId="3299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shd w:val="clear" w:color="auto" w:fill="auto"/>
            <w:vAlign w:val="center"/>
          </w:tcPr>
          <w:p w14:paraId="06F15C8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825" w:type="dxa"/>
            <w:shd w:val="clear" w:color="auto" w:fill="auto"/>
            <w:vAlign w:val="center"/>
          </w:tcPr>
          <w:p w14:paraId="0B4AEA4E">
            <w:pPr>
              <w:widowControl/>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货物</w:t>
            </w:r>
          </w:p>
          <w:p w14:paraId="7477DA7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5780" w:type="dxa"/>
            <w:shd w:val="clear" w:color="auto" w:fill="auto"/>
            <w:vAlign w:val="center"/>
          </w:tcPr>
          <w:p w14:paraId="3506151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招标技术要求</w:t>
            </w:r>
          </w:p>
        </w:tc>
        <w:tc>
          <w:tcPr>
            <w:tcW w:w="712" w:type="dxa"/>
            <w:shd w:val="clear" w:color="auto" w:fill="auto"/>
            <w:vAlign w:val="center"/>
          </w:tcPr>
          <w:p w14:paraId="45644DB4">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825" w:type="dxa"/>
            <w:shd w:val="clear" w:color="auto" w:fill="auto"/>
            <w:vAlign w:val="center"/>
          </w:tcPr>
          <w:p w14:paraId="3405C244">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672" w:type="dxa"/>
            <w:shd w:val="clear" w:color="auto" w:fill="auto"/>
            <w:vAlign w:val="center"/>
          </w:tcPr>
          <w:p w14:paraId="5BFA764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14:paraId="4BEA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shd w:val="clear" w:color="auto" w:fill="auto"/>
            <w:vAlign w:val="center"/>
          </w:tcPr>
          <w:p w14:paraId="464091F6">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825" w:type="dxa"/>
            <w:vMerge w:val="restart"/>
            <w:shd w:val="clear" w:color="auto" w:fill="FFFFFF"/>
            <w:vAlign w:val="center"/>
          </w:tcPr>
          <w:p w14:paraId="362C5D9D">
            <w:pPr>
              <w:widowControl/>
              <w:jc w:val="left"/>
              <w:textAlignment w:val="center"/>
              <w:rPr>
                <w:rFonts w:ascii="宋体" w:hAnsi="宋体" w:eastAsia="宋体" w:cs="宋体"/>
                <w:color w:val="000000"/>
                <w:sz w:val="20"/>
                <w:szCs w:val="20"/>
              </w:rPr>
            </w:pPr>
            <w:r>
              <w:rPr>
                <w:rFonts w:hint="eastAsia" w:ascii="宋体" w:hAnsi="宋体" w:eastAsia="宋体" w:cs="宋体"/>
                <w:kern w:val="0"/>
                <w:sz w:val="21"/>
                <w:szCs w:val="21"/>
                <w:lang w:val="en-US" w:eastAsia="zh-CN"/>
              </w:rPr>
              <w:t>升降课桌</w:t>
            </w:r>
          </w:p>
        </w:tc>
        <w:tc>
          <w:tcPr>
            <w:tcW w:w="5780" w:type="dxa"/>
            <w:shd w:val="clear" w:color="auto" w:fill="FFFFFF"/>
            <w:vAlign w:val="center"/>
          </w:tcPr>
          <w:p w14:paraId="5F1022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color w:val="000000"/>
                <w:sz w:val="20"/>
                <w:szCs w:val="20"/>
              </w:rPr>
            </w:pPr>
            <w:r>
              <w:rPr>
                <w:rFonts w:hint="eastAsia" w:ascii="宋体" w:hAnsi="宋体" w:eastAsia="宋体" w:cs="宋体"/>
                <w:b/>
                <w:bCs/>
                <w:sz w:val="21"/>
                <w:szCs w:val="21"/>
                <w:lang w:val="en-US" w:eastAsia="zh-CN"/>
              </w:rPr>
              <w:t>A.桌面</w:t>
            </w:r>
          </w:p>
        </w:tc>
        <w:tc>
          <w:tcPr>
            <w:tcW w:w="712" w:type="dxa"/>
            <w:vMerge w:val="restart"/>
            <w:shd w:val="clear" w:color="auto" w:fill="FFFFFF"/>
            <w:vAlign w:val="center"/>
          </w:tcPr>
          <w:p w14:paraId="0900F51D">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250</w:t>
            </w:r>
          </w:p>
        </w:tc>
        <w:tc>
          <w:tcPr>
            <w:tcW w:w="825" w:type="dxa"/>
            <w:vMerge w:val="restart"/>
            <w:shd w:val="clear" w:color="auto" w:fill="FFFFFF"/>
            <w:vAlign w:val="center"/>
          </w:tcPr>
          <w:p w14:paraId="04C806CC">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张</w:t>
            </w:r>
          </w:p>
        </w:tc>
        <w:tc>
          <w:tcPr>
            <w:tcW w:w="672" w:type="dxa"/>
            <w:vMerge w:val="restart"/>
            <w:shd w:val="clear" w:color="auto" w:fill="FFFFFF"/>
            <w:vAlign w:val="bottom"/>
          </w:tcPr>
          <w:p w14:paraId="08B96880">
            <w:pPr>
              <w:jc w:val="left"/>
              <w:rPr>
                <w:rFonts w:ascii="宋体" w:hAnsi="宋体" w:eastAsia="宋体" w:cs="宋体"/>
                <w:color w:val="000000"/>
                <w:sz w:val="20"/>
                <w:szCs w:val="20"/>
              </w:rPr>
            </w:pPr>
          </w:p>
        </w:tc>
      </w:tr>
      <w:tr w14:paraId="27A7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3FAD3D5">
            <w:pPr>
              <w:jc w:val="center"/>
              <w:rPr>
                <w:rFonts w:ascii="宋体" w:hAnsi="宋体" w:eastAsia="宋体" w:cs="宋体"/>
                <w:color w:val="000000"/>
                <w:sz w:val="20"/>
                <w:szCs w:val="20"/>
              </w:rPr>
            </w:pPr>
          </w:p>
        </w:tc>
        <w:tc>
          <w:tcPr>
            <w:tcW w:w="825" w:type="dxa"/>
            <w:vMerge w:val="continue"/>
            <w:shd w:val="clear" w:color="auto" w:fill="FFFFFF"/>
            <w:vAlign w:val="center"/>
          </w:tcPr>
          <w:p w14:paraId="489D4F85">
            <w:pPr>
              <w:jc w:val="left"/>
              <w:rPr>
                <w:rFonts w:ascii="宋体" w:hAnsi="宋体" w:eastAsia="宋体" w:cs="宋体"/>
                <w:color w:val="000000"/>
                <w:sz w:val="20"/>
                <w:szCs w:val="20"/>
              </w:rPr>
            </w:pPr>
          </w:p>
        </w:tc>
        <w:tc>
          <w:tcPr>
            <w:tcW w:w="5780" w:type="dxa"/>
            <w:shd w:val="clear" w:color="auto" w:fill="FFFFFF"/>
            <w:vAlign w:val="center"/>
          </w:tcPr>
          <w:p w14:paraId="5600838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ascii="宋体" w:hAnsi="宋体" w:eastAsia="宋体" w:cs="宋体"/>
                <w:color w:val="000000"/>
                <w:sz w:val="20"/>
                <w:szCs w:val="20"/>
              </w:rPr>
            </w:pPr>
            <w:r>
              <w:rPr>
                <w:rFonts w:hint="eastAsia" w:ascii="宋体" w:hAnsi="宋体" w:eastAsia="宋体" w:cs="宋体"/>
                <w:sz w:val="21"/>
                <w:szCs w:val="21"/>
              </w:rPr>
              <w:t>材质：ABS塑料（塑胶）一体注射成型。</w:t>
            </w:r>
          </w:p>
        </w:tc>
        <w:tc>
          <w:tcPr>
            <w:tcW w:w="712" w:type="dxa"/>
            <w:vMerge w:val="continue"/>
            <w:shd w:val="clear" w:color="auto" w:fill="FFFFFF"/>
            <w:vAlign w:val="center"/>
          </w:tcPr>
          <w:p w14:paraId="6CC370B7">
            <w:pPr>
              <w:jc w:val="center"/>
              <w:rPr>
                <w:rFonts w:ascii="宋体" w:hAnsi="宋体" w:eastAsia="宋体" w:cs="宋体"/>
                <w:color w:val="000000"/>
                <w:sz w:val="20"/>
                <w:szCs w:val="20"/>
              </w:rPr>
            </w:pPr>
          </w:p>
        </w:tc>
        <w:tc>
          <w:tcPr>
            <w:tcW w:w="825" w:type="dxa"/>
            <w:vMerge w:val="continue"/>
            <w:shd w:val="clear" w:color="auto" w:fill="FFFFFF"/>
            <w:vAlign w:val="center"/>
          </w:tcPr>
          <w:p w14:paraId="20C81B09">
            <w:pPr>
              <w:jc w:val="center"/>
              <w:rPr>
                <w:rFonts w:ascii="宋体" w:hAnsi="宋体" w:eastAsia="宋体" w:cs="宋体"/>
                <w:color w:val="000000"/>
                <w:sz w:val="20"/>
                <w:szCs w:val="20"/>
              </w:rPr>
            </w:pPr>
          </w:p>
        </w:tc>
        <w:tc>
          <w:tcPr>
            <w:tcW w:w="672" w:type="dxa"/>
            <w:vMerge w:val="continue"/>
            <w:shd w:val="clear" w:color="auto" w:fill="FFFFFF"/>
            <w:vAlign w:val="bottom"/>
          </w:tcPr>
          <w:p w14:paraId="37C1FA2B">
            <w:pPr>
              <w:jc w:val="left"/>
              <w:rPr>
                <w:rFonts w:ascii="宋体" w:hAnsi="宋体" w:eastAsia="宋体" w:cs="宋体"/>
                <w:color w:val="000000"/>
                <w:sz w:val="20"/>
                <w:szCs w:val="20"/>
              </w:rPr>
            </w:pPr>
          </w:p>
        </w:tc>
      </w:tr>
      <w:tr w14:paraId="3A1A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E730873">
            <w:pPr>
              <w:jc w:val="center"/>
              <w:rPr>
                <w:rFonts w:ascii="宋体" w:hAnsi="宋体" w:eastAsia="宋体" w:cs="宋体"/>
                <w:color w:val="000000"/>
                <w:sz w:val="20"/>
                <w:szCs w:val="20"/>
              </w:rPr>
            </w:pPr>
          </w:p>
        </w:tc>
        <w:tc>
          <w:tcPr>
            <w:tcW w:w="825" w:type="dxa"/>
            <w:vMerge w:val="continue"/>
            <w:shd w:val="clear" w:color="auto" w:fill="FFFFFF"/>
            <w:vAlign w:val="center"/>
          </w:tcPr>
          <w:p w14:paraId="2E17F0A8">
            <w:pPr>
              <w:jc w:val="left"/>
              <w:rPr>
                <w:rFonts w:ascii="宋体" w:hAnsi="宋体" w:eastAsia="宋体" w:cs="宋体"/>
                <w:color w:val="000000"/>
                <w:sz w:val="20"/>
                <w:szCs w:val="20"/>
              </w:rPr>
            </w:pPr>
          </w:p>
        </w:tc>
        <w:tc>
          <w:tcPr>
            <w:tcW w:w="5780" w:type="dxa"/>
            <w:shd w:val="clear" w:color="auto" w:fill="FFFFFF"/>
            <w:vAlign w:val="center"/>
          </w:tcPr>
          <w:p w14:paraId="67781E7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ascii="宋体" w:hAnsi="宋体" w:eastAsia="宋体" w:cs="宋体"/>
                <w:color w:val="000000"/>
                <w:sz w:val="20"/>
                <w:szCs w:val="20"/>
              </w:rPr>
            </w:pPr>
            <w:r>
              <w:rPr>
                <w:rFonts w:hint="eastAsia" w:ascii="宋体" w:hAnsi="宋体" w:eastAsia="宋体" w:cs="宋体"/>
                <w:sz w:val="21"/>
                <w:szCs w:val="21"/>
              </w:rPr>
              <w:t>▲</w:t>
            </w:r>
            <w:r>
              <w:rPr>
                <w:rFonts w:hint="eastAsia" w:ascii="宋体" w:hAnsi="宋体" w:eastAsia="宋体" w:cs="宋体"/>
                <w:sz w:val="21"/>
                <w:szCs w:val="21"/>
                <w:lang w:val="en-US" w:eastAsia="zh-CN"/>
              </w:rPr>
              <w:t>课桌桌面</w:t>
            </w:r>
            <w:r>
              <w:rPr>
                <w:rFonts w:hint="eastAsia" w:ascii="宋体" w:hAnsi="宋体" w:eastAsia="宋体" w:cs="宋体"/>
                <w:sz w:val="21"/>
                <w:szCs w:val="21"/>
              </w:rPr>
              <w:t>ABS塑料（塑胶）</w:t>
            </w:r>
            <w:r>
              <w:rPr>
                <w:rFonts w:hint="eastAsia" w:ascii="宋体" w:hAnsi="宋体" w:eastAsia="宋体" w:cs="宋体"/>
                <w:sz w:val="21"/>
                <w:szCs w:val="21"/>
                <w:lang w:eastAsia="zh-CN"/>
              </w:rPr>
              <w:t>：多溴二苯醚(PBDE)</w:t>
            </w:r>
            <w:r>
              <w:rPr>
                <w:rFonts w:hint="eastAsia" w:ascii="宋体" w:hAnsi="宋体" w:eastAsia="宋体" w:cs="宋体"/>
                <w:sz w:val="21"/>
                <w:szCs w:val="21"/>
                <w:lang w:val="en-US" w:eastAsia="zh-CN"/>
              </w:rPr>
              <w:t>≤1000mg/kg、多溴联苯(PBB)≤1000mg/kg、</w:t>
            </w:r>
            <w:r>
              <w:rPr>
                <w:rFonts w:hint="eastAsia" w:ascii="宋体" w:hAnsi="宋体" w:eastAsia="宋体" w:cs="宋体"/>
                <w:sz w:val="21"/>
                <w:szCs w:val="21"/>
                <w:lang w:eastAsia="zh-CN"/>
              </w:rPr>
              <w:t>苯并[a]芘</w:t>
            </w:r>
            <w:r>
              <w:rPr>
                <w:rFonts w:hint="eastAsia" w:ascii="宋体" w:hAnsi="宋体" w:eastAsia="宋体" w:cs="宋体"/>
                <w:sz w:val="21"/>
                <w:szCs w:val="21"/>
                <w:lang w:val="en-US" w:eastAsia="zh-CN"/>
              </w:rPr>
              <w:t>≤1.0mg/kg</w:t>
            </w:r>
            <w:r>
              <w:rPr>
                <w:rFonts w:hint="eastAsia" w:ascii="宋体" w:hAnsi="宋体" w:eastAsia="宋体" w:cs="宋体"/>
                <w:sz w:val="21"/>
                <w:szCs w:val="21"/>
                <w:lang w:eastAsia="zh-CN"/>
              </w:rPr>
              <w:t>、</w:t>
            </w:r>
            <w:r>
              <w:rPr>
                <w:rFonts w:hint="eastAsia" w:ascii="宋体" w:hAnsi="宋体" w:eastAsia="宋体" w:cs="宋体"/>
                <w:sz w:val="21"/>
                <w:szCs w:val="21"/>
              </w:rPr>
              <w:t>16种多环芳烃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PAH</w:t>
            </w:r>
            <w:r>
              <w:rPr>
                <w:rFonts w:hint="eastAsia" w:ascii="宋体" w:hAnsi="宋体" w:eastAsia="宋体" w:cs="宋体"/>
                <w:sz w:val="21"/>
                <w:szCs w:val="21"/>
                <w:lang w:eastAsia="zh-CN"/>
              </w:rPr>
              <w:t>）</w:t>
            </w:r>
            <w:r>
              <w:rPr>
                <w:rFonts w:hint="eastAsia" w:ascii="宋体" w:hAnsi="宋体" w:eastAsia="宋体" w:cs="宋体"/>
                <w:sz w:val="21"/>
                <w:szCs w:val="21"/>
              </w:rPr>
              <w:t>总</w:t>
            </w:r>
            <w:r>
              <w:rPr>
                <w:rFonts w:hint="eastAsia" w:ascii="宋体" w:hAnsi="宋体" w:eastAsia="宋体" w:cs="宋体"/>
                <w:sz w:val="21"/>
                <w:szCs w:val="21"/>
                <w:lang w:val="en-US" w:eastAsia="zh-CN"/>
              </w:rPr>
              <w:t>量≤10mg/kg</w:t>
            </w:r>
            <w:r>
              <w:rPr>
                <w:rFonts w:hint="eastAsia" w:ascii="宋体" w:hAnsi="宋体" w:eastAsia="宋体" w:cs="宋体"/>
                <w:sz w:val="21"/>
                <w:szCs w:val="21"/>
                <w:lang w:eastAsia="zh-CN"/>
              </w:rPr>
              <w:t>、邻苯二甲酸二丁</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(DBP)</w:t>
            </w:r>
            <w:r>
              <w:rPr>
                <w:rFonts w:hint="eastAsia" w:ascii="宋体" w:hAnsi="宋体" w:eastAsia="宋体" w:cs="宋体"/>
                <w:sz w:val="21"/>
                <w:szCs w:val="21"/>
                <w:lang w:val="en-US" w:eastAsia="zh-CN"/>
              </w:rPr>
              <w:t>≤0.1%</w:t>
            </w:r>
            <w:r>
              <w:rPr>
                <w:rFonts w:hint="eastAsia" w:ascii="宋体" w:hAnsi="宋体" w:eastAsia="宋体" w:cs="宋体"/>
                <w:sz w:val="21"/>
                <w:szCs w:val="21"/>
                <w:lang w:eastAsia="zh-CN"/>
              </w:rPr>
              <w:t>、邻苯二甲酸丁</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苄</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(BBP)</w:t>
            </w:r>
            <w:r>
              <w:rPr>
                <w:rFonts w:hint="eastAsia" w:ascii="宋体" w:hAnsi="宋体" w:eastAsia="宋体" w:cs="宋体"/>
                <w:sz w:val="21"/>
                <w:szCs w:val="21"/>
                <w:lang w:val="en-US" w:eastAsia="zh-CN"/>
              </w:rPr>
              <w:t>≤0.1%</w:t>
            </w:r>
            <w:r>
              <w:rPr>
                <w:rFonts w:hint="eastAsia" w:ascii="宋体" w:hAnsi="宋体" w:eastAsia="宋体" w:cs="宋体"/>
                <w:sz w:val="21"/>
                <w:szCs w:val="21"/>
                <w:lang w:eastAsia="zh-CN"/>
              </w:rPr>
              <w:t>、邻苯二甲酸二(2-乙基</w:t>
            </w:r>
            <w:r>
              <w:rPr>
                <w:rFonts w:hint="eastAsia" w:ascii="宋体" w:hAnsi="宋体" w:eastAsia="宋体" w:cs="宋体"/>
                <w:sz w:val="21"/>
                <w:szCs w:val="21"/>
                <w:lang w:val="en-US" w:eastAsia="zh-CN"/>
              </w:rPr>
              <w:t>己</w:t>
            </w:r>
            <w:r>
              <w:rPr>
                <w:rFonts w:hint="eastAsia" w:ascii="宋体" w:hAnsi="宋体" w:eastAsia="宋体" w:cs="宋体"/>
                <w:sz w:val="21"/>
                <w:szCs w:val="21"/>
                <w:lang w:eastAsia="zh-CN"/>
              </w:rPr>
              <w:t>基)酯(DEHP)</w:t>
            </w:r>
            <w:r>
              <w:rPr>
                <w:rFonts w:hint="eastAsia" w:ascii="宋体" w:hAnsi="宋体" w:eastAsia="宋体" w:cs="宋体"/>
                <w:sz w:val="21"/>
                <w:szCs w:val="21"/>
                <w:lang w:val="en-US" w:eastAsia="zh-CN"/>
              </w:rPr>
              <w:t>≤0.1%、</w:t>
            </w:r>
            <w:r>
              <w:rPr>
                <w:rFonts w:hint="eastAsia" w:ascii="宋体" w:hAnsi="宋体" w:eastAsia="宋体" w:cs="宋体"/>
                <w:sz w:val="21"/>
                <w:szCs w:val="21"/>
                <w:lang w:eastAsia="zh-CN"/>
              </w:rPr>
              <w:t>邻苯二甲酸二正辛</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(DNOP)</w:t>
            </w:r>
            <w:r>
              <w:rPr>
                <w:rFonts w:hint="eastAsia" w:ascii="宋体" w:hAnsi="宋体" w:eastAsia="宋体" w:cs="宋体"/>
                <w:sz w:val="21"/>
                <w:szCs w:val="21"/>
                <w:lang w:val="en-US" w:eastAsia="zh-CN"/>
              </w:rPr>
              <w:t>≤0.1%、邻苯二甲酸二异壬酯(DINP)≤0.1%、邻苯二甲酸二异癸酯(DIDP)≤0.1%、有害物质限量要求-重金属（可溶性镉（Cd）≤75mg/kg</w:t>
            </w:r>
            <w:r>
              <w:rPr>
                <w:rFonts w:hint="eastAsia" w:ascii="宋体" w:hAnsi="宋体" w:eastAsia="宋体" w:cs="宋体"/>
                <w:sz w:val="21"/>
                <w:szCs w:val="21"/>
              </w:rPr>
              <w:t>、</w:t>
            </w:r>
            <w:r>
              <w:rPr>
                <w:rFonts w:hint="eastAsia" w:ascii="宋体" w:hAnsi="宋体" w:eastAsia="宋体" w:cs="宋体"/>
                <w:sz w:val="21"/>
                <w:szCs w:val="21"/>
                <w:lang w:val="en-US" w:eastAsia="zh-CN"/>
              </w:rPr>
              <w:t>可溶性铅（Pb）≤90mg/kg、</w:t>
            </w:r>
            <w:r>
              <w:rPr>
                <w:rFonts w:hint="eastAsia" w:ascii="宋体" w:hAnsi="宋体" w:eastAsia="宋体" w:cs="宋体"/>
                <w:sz w:val="21"/>
                <w:szCs w:val="21"/>
              </w:rPr>
              <w:t>可溶性铬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Cr</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≤60mg/kg</w:t>
            </w:r>
            <w:r>
              <w:rPr>
                <w:rFonts w:hint="eastAsia" w:ascii="宋体" w:hAnsi="宋体" w:eastAsia="宋体" w:cs="宋体"/>
                <w:sz w:val="21"/>
                <w:szCs w:val="21"/>
              </w:rPr>
              <w:t>、可溶性汞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Hg</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≤60mg/kg</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rPr>
              <w:t>检验项目单项结论</w:t>
            </w:r>
            <w:r>
              <w:rPr>
                <w:rFonts w:hint="eastAsia" w:ascii="宋体" w:hAnsi="宋体" w:eastAsia="宋体" w:cs="宋体"/>
                <w:sz w:val="21"/>
                <w:szCs w:val="21"/>
                <w:lang w:val="en-US" w:eastAsia="zh-CN"/>
              </w:rPr>
              <w:t>均</w:t>
            </w:r>
            <w:r>
              <w:rPr>
                <w:rFonts w:hint="eastAsia" w:ascii="宋体" w:hAnsi="宋体" w:eastAsia="宋体" w:cs="宋体"/>
                <w:sz w:val="21"/>
                <w:szCs w:val="21"/>
              </w:rPr>
              <w:t>符合</w:t>
            </w:r>
            <w:r>
              <w:rPr>
                <w:rFonts w:hint="eastAsia" w:ascii="宋体" w:hAnsi="宋体" w:eastAsia="宋体" w:cs="宋体"/>
                <w:sz w:val="21"/>
                <w:szCs w:val="21"/>
                <w:lang w:val="en-US" w:eastAsia="zh-CN"/>
              </w:rPr>
              <w:t>要求</w:t>
            </w:r>
            <w:r>
              <w:rPr>
                <w:rFonts w:hint="eastAsia" w:ascii="宋体" w:hAnsi="宋体" w:eastAsia="宋体" w:cs="宋体"/>
                <w:sz w:val="21"/>
                <w:szCs w:val="21"/>
              </w:rPr>
              <w:t>；检测依据:SN/T 2005.2-2005电子电气产品中多溴联苯和多溴联苯醚的测定第2部分:气相色谱质谱法,SN/T 1877.2-2007 塑料原料及其制品中多环芳烃的测定方法</w:t>
            </w:r>
            <w:r>
              <w:rPr>
                <w:rFonts w:hint="eastAsia" w:ascii="宋体" w:hAnsi="宋体" w:eastAsia="宋体" w:cs="宋体"/>
                <w:sz w:val="21"/>
                <w:szCs w:val="21"/>
                <w:lang w:eastAsia="zh-CN"/>
              </w:rPr>
              <w:t>。</w:t>
            </w:r>
            <w:r>
              <w:rPr>
                <w:rFonts w:hint="eastAsia" w:ascii="宋体" w:hAnsi="宋体" w:eastAsia="宋体" w:cs="宋体"/>
                <w:b/>
                <w:bCs/>
                <w:color w:val="0000F4"/>
                <w:kern w:val="2"/>
                <w:sz w:val="21"/>
                <w:szCs w:val="21"/>
                <w:lang w:val="en-US" w:eastAsia="zh-CN" w:bidi="ar-SA"/>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p>
        </w:tc>
        <w:tc>
          <w:tcPr>
            <w:tcW w:w="712" w:type="dxa"/>
            <w:vMerge w:val="continue"/>
            <w:shd w:val="clear" w:color="auto" w:fill="FFFFFF"/>
            <w:vAlign w:val="center"/>
          </w:tcPr>
          <w:p w14:paraId="0634C4D9">
            <w:pPr>
              <w:jc w:val="center"/>
              <w:rPr>
                <w:rFonts w:ascii="宋体" w:hAnsi="宋体" w:eastAsia="宋体" w:cs="宋体"/>
                <w:color w:val="000000"/>
                <w:sz w:val="20"/>
                <w:szCs w:val="20"/>
              </w:rPr>
            </w:pPr>
          </w:p>
        </w:tc>
        <w:tc>
          <w:tcPr>
            <w:tcW w:w="825" w:type="dxa"/>
            <w:vMerge w:val="continue"/>
            <w:shd w:val="clear" w:color="auto" w:fill="FFFFFF"/>
            <w:vAlign w:val="center"/>
          </w:tcPr>
          <w:p w14:paraId="31706C9C">
            <w:pPr>
              <w:jc w:val="center"/>
              <w:rPr>
                <w:rFonts w:ascii="宋体" w:hAnsi="宋体" w:eastAsia="宋体" w:cs="宋体"/>
                <w:color w:val="000000"/>
                <w:sz w:val="20"/>
                <w:szCs w:val="20"/>
              </w:rPr>
            </w:pPr>
          </w:p>
        </w:tc>
        <w:tc>
          <w:tcPr>
            <w:tcW w:w="672" w:type="dxa"/>
            <w:vMerge w:val="continue"/>
            <w:shd w:val="clear" w:color="auto" w:fill="FFFFFF"/>
            <w:vAlign w:val="bottom"/>
          </w:tcPr>
          <w:p w14:paraId="410363DB">
            <w:pPr>
              <w:jc w:val="left"/>
              <w:rPr>
                <w:rFonts w:ascii="宋体" w:hAnsi="宋体" w:eastAsia="宋体" w:cs="宋体"/>
                <w:color w:val="000000"/>
                <w:sz w:val="20"/>
                <w:szCs w:val="20"/>
              </w:rPr>
            </w:pPr>
          </w:p>
        </w:tc>
      </w:tr>
      <w:tr w14:paraId="4F23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1553203">
            <w:pPr>
              <w:jc w:val="center"/>
              <w:rPr>
                <w:rFonts w:ascii="宋体" w:hAnsi="宋体" w:eastAsia="宋体" w:cs="宋体"/>
                <w:color w:val="000000"/>
                <w:sz w:val="20"/>
                <w:szCs w:val="20"/>
              </w:rPr>
            </w:pPr>
          </w:p>
        </w:tc>
        <w:tc>
          <w:tcPr>
            <w:tcW w:w="825" w:type="dxa"/>
            <w:vMerge w:val="continue"/>
            <w:shd w:val="clear" w:color="auto" w:fill="FFFFFF"/>
            <w:vAlign w:val="center"/>
          </w:tcPr>
          <w:p w14:paraId="42F8E593">
            <w:pPr>
              <w:jc w:val="left"/>
              <w:rPr>
                <w:rFonts w:ascii="宋体" w:hAnsi="宋体" w:eastAsia="宋体" w:cs="宋体"/>
                <w:color w:val="000000"/>
                <w:sz w:val="20"/>
                <w:szCs w:val="20"/>
              </w:rPr>
            </w:pPr>
          </w:p>
        </w:tc>
        <w:tc>
          <w:tcPr>
            <w:tcW w:w="5780" w:type="dxa"/>
            <w:shd w:val="clear" w:color="auto" w:fill="FFFFFF"/>
            <w:vAlign w:val="center"/>
          </w:tcPr>
          <w:p w14:paraId="24BE225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▲在课桌面做塑面硬化处理以增加桌面的表面硬度，抗污防腐，耐磨抗划伤，有效解决在使用过程中学生肆意涂画，灰尘、水渍、汗渍造成桌面污浊不堪，不易清洁的问题，亦可更有效保护桌面不变色，不褪色。</w:t>
            </w:r>
            <w:r>
              <w:rPr>
                <w:rFonts w:hint="eastAsia" w:ascii="宋体" w:hAnsi="宋体" w:eastAsia="宋体" w:cs="宋体"/>
                <w:sz w:val="21"/>
                <w:szCs w:val="21"/>
                <w:lang w:val="en-US" w:eastAsia="zh-CN"/>
              </w:rPr>
              <w:t>桌面抗污材料应满足以下要求：检验依据GB/T9274-1988《色漆和清漆 耐液体介质的测定》；检测要求：耐液体介质的测定（酸:10g/L 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4</w:t>
            </w:r>
            <w:r>
              <w:rPr>
                <w:rFonts w:hint="eastAsia" w:ascii="宋体" w:hAnsi="宋体" w:eastAsia="宋体" w:cs="宋体"/>
                <w:sz w:val="21"/>
                <w:szCs w:val="21"/>
                <w:lang w:val="en-US" w:eastAsia="zh-CN"/>
              </w:rPr>
              <w:t>溶液，24h；碱:50g/L NaHCO</w:t>
            </w:r>
            <w:r>
              <w:rPr>
                <w:rFonts w:hint="eastAsia" w:ascii="宋体" w:hAnsi="宋体" w:eastAsia="宋体" w:cs="宋体"/>
                <w:sz w:val="21"/>
                <w:szCs w:val="21"/>
                <w:vertAlign w:val="subscript"/>
                <w:lang w:val="en-US" w:eastAsia="zh-CN"/>
              </w:rPr>
              <w:t>3</w:t>
            </w:r>
            <w:r>
              <w:rPr>
                <w:rFonts w:hint="eastAsia" w:ascii="宋体" w:hAnsi="宋体" w:eastAsia="宋体" w:cs="宋体"/>
                <w:sz w:val="21"/>
                <w:szCs w:val="21"/>
                <w:lang w:val="en-US" w:eastAsia="zh-CN"/>
              </w:rPr>
              <w:t>溶液，24h；200#溶剂油，24h）无异常，检测结果符合要求。</w:t>
            </w:r>
            <w:r>
              <w:rPr>
                <w:rFonts w:hint="eastAsia" w:ascii="宋体" w:hAnsi="宋体" w:eastAsia="宋体" w:cs="宋体"/>
                <w:b w:val="0"/>
                <w:color w:val="0000FF"/>
                <w:kern w:val="2"/>
                <w:sz w:val="21"/>
                <w:szCs w:val="21"/>
                <w:lang w:val="en-US" w:eastAsia="zh-CN" w:bidi="ar-SA"/>
              </w:rPr>
              <w:t>（</w:t>
            </w:r>
            <w:r>
              <w:rPr>
                <w:rFonts w:hint="eastAsia" w:ascii="宋体" w:hAnsi="宋体" w:eastAsia="宋体" w:cs="宋体"/>
                <w:b/>
                <w:bCs/>
                <w:color w:val="0000F4"/>
                <w:kern w:val="2"/>
                <w:sz w:val="21"/>
                <w:szCs w:val="21"/>
                <w:lang w:val="en-US" w:eastAsia="zh-CN" w:bidi="ar-SA"/>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r>
              <w:rPr>
                <w:rFonts w:hint="eastAsia" w:ascii="宋体" w:hAnsi="宋体" w:eastAsia="宋体" w:cs="宋体"/>
                <w:b w:val="0"/>
                <w:color w:val="0000FF"/>
                <w:kern w:val="2"/>
                <w:sz w:val="21"/>
                <w:szCs w:val="21"/>
                <w:lang w:val="en-US" w:eastAsia="zh-CN" w:bidi="ar-SA"/>
              </w:rPr>
              <w:t>）</w:t>
            </w:r>
          </w:p>
        </w:tc>
        <w:tc>
          <w:tcPr>
            <w:tcW w:w="712" w:type="dxa"/>
            <w:vMerge w:val="continue"/>
            <w:shd w:val="clear" w:color="auto" w:fill="FFFFFF"/>
            <w:vAlign w:val="center"/>
          </w:tcPr>
          <w:p w14:paraId="75FAA8CE">
            <w:pPr>
              <w:jc w:val="center"/>
              <w:rPr>
                <w:rFonts w:ascii="宋体" w:hAnsi="宋体" w:eastAsia="宋体" w:cs="宋体"/>
                <w:color w:val="000000"/>
                <w:sz w:val="20"/>
                <w:szCs w:val="20"/>
              </w:rPr>
            </w:pPr>
          </w:p>
        </w:tc>
        <w:tc>
          <w:tcPr>
            <w:tcW w:w="825" w:type="dxa"/>
            <w:vMerge w:val="continue"/>
            <w:shd w:val="clear" w:color="auto" w:fill="FFFFFF"/>
            <w:vAlign w:val="center"/>
          </w:tcPr>
          <w:p w14:paraId="05E7A44D">
            <w:pPr>
              <w:jc w:val="center"/>
              <w:rPr>
                <w:rFonts w:ascii="宋体" w:hAnsi="宋体" w:eastAsia="宋体" w:cs="宋体"/>
                <w:color w:val="000000"/>
                <w:sz w:val="20"/>
                <w:szCs w:val="20"/>
              </w:rPr>
            </w:pPr>
          </w:p>
        </w:tc>
        <w:tc>
          <w:tcPr>
            <w:tcW w:w="672" w:type="dxa"/>
            <w:vMerge w:val="continue"/>
            <w:shd w:val="clear" w:color="auto" w:fill="FFFFFF"/>
            <w:vAlign w:val="bottom"/>
          </w:tcPr>
          <w:p w14:paraId="061BFCC1">
            <w:pPr>
              <w:jc w:val="left"/>
              <w:rPr>
                <w:rFonts w:ascii="宋体" w:hAnsi="宋体" w:eastAsia="宋体" w:cs="宋体"/>
                <w:color w:val="000000"/>
                <w:sz w:val="20"/>
                <w:szCs w:val="20"/>
              </w:rPr>
            </w:pPr>
          </w:p>
        </w:tc>
      </w:tr>
      <w:tr w14:paraId="2171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71E1BA4">
            <w:pPr>
              <w:jc w:val="center"/>
              <w:rPr>
                <w:rFonts w:ascii="宋体" w:hAnsi="宋体" w:eastAsia="宋体" w:cs="宋体"/>
                <w:color w:val="000000"/>
                <w:sz w:val="20"/>
                <w:szCs w:val="20"/>
              </w:rPr>
            </w:pPr>
          </w:p>
        </w:tc>
        <w:tc>
          <w:tcPr>
            <w:tcW w:w="825" w:type="dxa"/>
            <w:vMerge w:val="continue"/>
            <w:shd w:val="clear" w:color="auto" w:fill="FFFFFF"/>
            <w:vAlign w:val="center"/>
          </w:tcPr>
          <w:p w14:paraId="21F263BA">
            <w:pPr>
              <w:jc w:val="left"/>
              <w:rPr>
                <w:rFonts w:ascii="宋体" w:hAnsi="宋体" w:eastAsia="宋体" w:cs="宋体"/>
                <w:color w:val="000000"/>
                <w:sz w:val="20"/>
                <w:szCs w:val="20"/>
              </w:rPr>
            </w:pPr>
          </w:p>
        </w:tc>
        <w:tc>
          <w:tcPr>
            <w:tcW w:w="5780" w:type="dxa"/>
            <w:shd w:val="clear" w:color="auto" w:fill="FFFFFF"/>
            <w:vAlign w:val="center"/>
          </w:tcPr>
          <w:p w14:paraId="0BBB4EB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▲ABS塑料（塑胶）</w:t>
            </w:r>
            <w:r>
              <w:rPr>
                <w:rFonts w:hint="eastAsia" w:ascii="宋体" w:hAnsi="宋体" w:eastAsia="宋体" w:cs="宋体"/>
                <w:sz w:val="21"/>
                <w:szCs w:val="21"/>
                <w:lang w:val="en-US" w:eastAsia="zh-CN"/>
              </w:rPr>
              <w:t>检验</w:t>
            </w:r>
            <w:r>
              <w:rPr>
                <w:rFonts w:hint="eastAsia" w:ascii="宋体" w:hAnsi="宋体" w:eastAsia="宋体" w:cs="宋体"/>
                <w:sz w:val="21"/>
                <w:szCs w:val="21"/>
                <w:lang w:eastAsia="zh-CN"/>
              </w:rPr>
              <w:t>：</w:t>
            </w:r>
            <w:r>
              <w:rPr>
                <w:rFonts w:hint="eastAsia" w:ascii="宋体" w:hAnsi="宋体" w:eastAsia="宋体" w:cs="宋体"/>
                <w:sz w:val="21"/>
                <w:szCs w:val="21"/>
              </w:rPr>
              <w:t>①机械性能</w:t>
            </w:r>
            <w:r>
              <w:rPr>
                <w:rFonts w:hint="eastAsia" w:ascii="宋体" w:hAnsi="宋体" w:eastAsia="宋体" w:cs="宋体"/>
                <w:sz w:val="21"/>
                <w:szCs w:val="21"/>
                <w:lang w:val="en-US" w:eastAsia="zh-CN"/>
              </w:rPr>
              <w:t>：硬度（洛氏硬度(R标尺)：≥103）；表面电阻率≥1.0x10</w:t>
            </w:r>
            <w:r>
              <w:rPr>
                <w:rFonts w:hint="eastAsia" w:ascii="宋体" w:hAnsi="宋体" w:eastAsia="宋体" w:cs="宋体"/>
                <w:sz w:val="21"/>
                <w:szCs w:val="21"/>
                <w:vertAlign w:val="superscript"/>
                <w:lang w:val="en-US" w:eastAsia="zh-CN"/>
              </w:rPr>
              <w:t>9</w:t>
            </w:r>
            <w:r>
              <w:rPr>
                <w:rFonts w:hint="eastAsia" w:ascii="宋体" w:hAnsi="宋体" w:eastAsia="宋体" w:cs="宋体"/>
                <w:sz w:val="21"/>
                <w:szCs w:val="21"/>
                <w:lang w:val="en-US" w:eastAsia="zh-CN"/>
              </w:rPr>
              <w:t>Ω；拉伸性能（拉伸强度≥37MPa）；冲击性能（简支梁缺口冲击强度：≥15KJ∕m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耐磨性能（耐磨性(CS-17,750g，100r)：≤0.15g）。②老化性能：热老化（500h）无龟裂、鼓泡现象；盐雾老化（500h）无锈蚀现象；荧光紫外灯老化（500h）（外观变色评级≥3级、拉伸强度保持率≥60%、断裂伸长率保持率≥60%）。单项判定结论均为合格。检验依据:GB/T 3398.2-2008《塑料 硬度测定第2部分:洛氏硬度》、GB/T 1040.2-2022《塑料 拉伸性能的测定第2部分:模塑和挤塑塑料的试验条件》、GB/T 1043.1-2008《塑料 简支梁冲击性能的测定 第1部分:非仪器化冲击试验》、GB/T 1768-2006《色漆和清漆 耐磨性的测定 旋转橡胶砂轮法》、GB/T 1735-2009《色漆和清漆 耐热性的测定》、GB/T 10125-2021 《人造气氛腐蚀试验盐雾试验》、GB/T 16422.3-2022《塑料 实验室光源暴露试验方法第3部分:荧光紫外灯》、GB/T 31838.3-2019《固体绝缘材料 介电和电阻特性 第3部分:电阻特性(DC方法)表面电阻和表面电阻率》</w:t>
            </w:r>
            <w:r>
              <w:rPr>
                <w:rFonts w:hint="eastAsia" w:ascii="宋体" w:hAnsi="宋体" w:eastAsia="宋体" w:cs="宋体"/>
                <w:b w:val="0"/>
                <w:color w:val="0000FF"/>
                <w:kern w:val="2"/>
                <w:sz w:val="21"/>
                <w:szCs w:val="21"/>
                <w:lang w:val="en-US" w:eastAsia="zh-CN" w:bidi="ar-SA"/>
              </w:rPr>
              <w:t>（</w:t>
            </w:r>
            <w:r>
              <w:rPr>
                <w:rFonts w:hint="eastAsia" w:ascii="宋体" w:hAnsi="宋体" w:eastAsia="宋体" w:cs="宋体"/>
                <w:b/>
                <w:bCs/>
                <w:color w:val="0000F4"/>
                <w:kern w:val="2"/>
                <w:sz w:val="21"/>
                <w:szCs w:val="21"/>
                <w:lang w:val="en-US" w:eastAsia="zh-CN" w:bidi="ar-SA"/>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r>
              <w:rPr>
                <w:rFonts w:hint="eastAsia" w:ascii="宋体" w:hAnsi="宋体" w:eastAsia="宋体" w:cs="宋体"/>
                <w:b w:val="0"/>
                <w:color w:val="0000FF"/>
                <w:kern w:val="2"/>
                <w:sz w:val="21"/>
                <w:szCs w:val="21"/>
                <w:lang w:val="en-US" w:eastAsia="zh-CN" w:bidi="ar-SA"/>
              </w:rPr>
              <w:t>）</w:t>
            </w:r>
          </w:p>
        </w:tc>
        <w:tc>
          <w:tcPr>
            <w:tcW w:w="712" w:type="dxa"/>
            <w:vMerge w:val="continue"/>
            <w:shd w:val="clear" w:color="auto" w:fill="FFFFFF"/>
            <w:vAlign w:val="center"/>
          </w:tcPr>
          <w:p w14:paraId="5F5EEA1A">
            <w:pPr>
              <w:jc w:val="center"/>
              <w:rPr>
                <w:rFonts w:ascii="宋体" w:hAnsi="宋体" w:eastAsia="宋体" w:cs="宋体"/>
                <w:color w:val="000000"/>
                <w:sz w:val="20"/>
                <w:szCs w:val="20"/>
              </w:rPr>
            </w:pPr>
          </w:p>
        </w:tc>
        <w:tc>
          <w:tcPr>
            <w:tcW w:w="825" w:type="dxa"/>
            <w:vMerge w:val="continue"/>
            <w:shd w:val="clear" w:color="auto" w:fill="FFFFFF"/>
            <w:vAlign w:val="center"/>
          </w:tcPr>
          <w:p w14:paraId="00C32441">
            <w:pPr>
              <w:jc w:val="center"/>
              <w:rPr>
                <w:rFonts w:ascii="宋体" w:hAnsi="宋体" w:eastAsia="宋体" w:cs="宋体"/>
                <w:color w:val="000000"/>
                <w:sz w:val="20"/>
                <w:szCs w:val="20"/>
              </w:rPr>
            </w:pPr>
          </w:p>
        </w:tc>
        <w:tc>
          <w:tcPr>
            <w:tcW w:w="672" w:type="dxa"/>
            <w:vMerge w:val="continue"/>
            <w:shd w:val="clear" w:color="auto" w:fill="FFFFFF"/>
            <w:vAlign w:val="bottom"/>
          </w:tcPr>
          <w:p w14:paraId="6AE430D5">
            <w:pPr>
              <w:jc w:val="left"/>
              <w:rPr>
                <w:rFonts w:ascii="宋体" w:hAnsi="宋体" w:eastAsia="宋体" w:cs="宋体"/>
                <w:color w:val="000000"/>
                <w:sz w:val="20"/>
                <w:szCs w:val="20"/>
              </w:rPr>
            </w:pPr>
          </w:p>
        </w:tc>
      </w:tr>
      <w:tr w14:paraId="7E3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FF5F588">
            <w:pPr>
              <w:jc w:val="center"/>
              <w:rPr>
                <w:rFonts w:ascii="宋体" w:hAnsi="宋体" w:eastAsia="宋体" w:cs="宋体"/>
                <w:color w:val="000000"/>
                <w:sz w:val="20"/>
                <w:szCs w:val="20"/>
              </w:rPr>
            </w:pPr>
          </w:p>
        </w:tc>
        <w:tc>
          <w:tcPr>
            <w:tcW w:w="825" w:type="dxa"/>
            <w:vMerge w:val="continue"/>
            <w:shd w:val="clear" w:color="auto" w:fill="FFFFFF"/>
            <w:vAlign w:val="center"/>
          </w:tcPr>
          <w:p w14:paraId="3BDAC969">
            <w:pPr>
              <w:jc w:val="left"/>
              <w:rPr>
                <w:rFonts w:ascii="宋体" w:hAnsi="宋体" w:eastAsia="宋体" w:cs="宋体"/>
                <w:color w:val="000000"/>
                <w:sz w:val="20"/>
                <w:szCs w:val="20"/>
              </w:rPr>
            </w:pPr>
          </w:p>
        </w:tc>
        <w:tc>
          <w:tcPr>
            <w:tcW w:w="5780" w:type="dxa"/>
            <w:shd w:val="clear" w:color="auto" w:fill="FFFFFF"/>
            <w:vAlign w:val="center"/>
          </w:tcPr>
          <w:p w14:paraId="680C22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lang w:val="en-US" w:eastAsia="zh-CN"/>
              </w:rPr>
              <w:t>▲桌面耐</w:t>
            </w:r>
            <w:r>
              <w:rPr>
                <w:rFonts w:hint="eastAsia" w:ascii="宋体" w:hAnsi="宋体" w:eastAsia="宋体" w:cs="宋体"/>
                <w:sz w:val="21"/>
                <w:szCs w:val="21"/>
              </w:rPr>
              <w:t>污染</w:t>
            </w:r>
            <w:r>
              <w:rPr>
                <w:rFonts w:hint="eastAsia" w:ascii="宋体" w:hAnsi="宋体" w:eastAsia="宋体" w:cs="宋体"/>
                <w:sz w:val="21"/>
                <w:szCs w:val="21"/>
                <w:lang w:val="en-US" w:eastAsia="zh-CN"/>
              </w:rPr>
              <w:t>应符合以下要求</w:t>
            </w:r>
            <w:r>
              <w:rPr>
                <w:rFonts w:hint="eastAsia" w:ascii="宋体" w:hAnsi="宋体" w:eastAsia="宋体" w:cs="宋体"/>
                <w:sz w:val="21"/>
                <w:szCs w:val="21"/>
                <w:lang w:eastAsia="zh-CN"/>
              </w:rPr>
              <w:t>：耐污染[墨水(蓝色和红色)、印泥、水笔、圆珠笔、涂改液，24h]能被符合QB/T2309的普通橡皮擦拭</w:t>
            </w:r>
            <w:r>
              <w:rPr>
                <w:rFonts w:hint="eastAsia" w:ascii="宋体" w:hAnsi="宋体" w:eastAsia="宋体" w:cs="宋体"/>
                <w:sz w:val="21"/>
                <w:szCs w:val="21"/>
              </w:rPr>
              <w:t>；</w:t>
            </w:r>
            <w:r>
              <w:rPr>
                <w:rFonts w:hint="eastAsia" w:ascii="宋体" w:hAnsi="宋体" w:eastAsia="宋体" w:cs="宋体"/>
                <w:sz w:val="21"/>
                <w:szCs w:val="21"/>
                <w:lang w:val="en-US" w:eastAsia="zh-CN"/>
              </w:rPr>
              <w:t>检测依据QB/T 4071-2021《课桌椅》</w:t>
            </w:r>
            <w:r>
              <w:rPr>
                <w:rFonts w:hint="eastAsia" w:ascii="宋体" w:hAnsi="宋体" w:eastAsia="宋体" w:cs="宋体"/>
                <w:sz w:val="21"/>
                <w:szCs w:val="21"/>
              </w:rPr>
              <w:t>。</w:t>
            </w:r>
            <w:r>
              <w:rPr>
                <w:rFonts w:hint="eastAsia" w:ascii="宋体" w:hAnsi="宋体" w:eastAsia="宋体" w:cs="宋体"/>
                <w:b/>
                <w:bCs/>
                <w:color w:val="0000F4"/>
                <w:kern w:val="2"/>
                <w:sz w:val="21"/>
                <w:szCs w:val="21"/>
                <w:lang w:val="en-US" w:eastAsia="zh-CN" w:bidi="ar-SA"/>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r>
              <w:rPr>
                <w:rFonts w:hint="eastAsia" w:ascii="宋体" w:hAnsi="宋体" w:eastAsia="宋体" w:cs="宋体"/>
                <w:b w:val="0"/>
                <w:color w:val="0000FF"/>
                <w:kern w:val="2"/>
                <w:sz w:val="21"/>
                <w:szCs w:val="21"/>
                <w:lang w:val="en-US" w:eastAsia="zh-CN" w:bidi="ar-SA"/>
              </w:rPr>
              <w:t>）</w:t>
            </w:r>
          </w:p>
        </w:tc>
        <w:tc>
          <w:tcPr>
            <w:tcW w:w="712" w:type="dxa"/>
            <w:vMerge w:val="continue"/>
            <w:shd w:val="clear" w:color="auto" w:fill="FFFFFF"/>
            <w:vAlign w:val="center"/>
          </w:tcPr>
          <w:p w14:paraId="51287151">
            <w:pPr>
              <w:jc w:val="center"/>
              <w:rPr>
                <w:rFonts w:ascii="宋体" w:hAnsi="宋体" w:eastAsia="宋体" w:cs="宋体"/>
                <w:color w:val="000000"/>
                <w:sz w:val="20"/>
                <w:szCs w:val="20"/>
              </w:rPr>
            </w:pPr>
          </w:p>
        </w:tc>
        <w:tc>
          <w:tcPr>
            <w:tcW w:w="825" w:type="dxa"/>
            <w:vMerge w:val="continue"/>
            <w:shd w:val="clear" w:color="auto" w:fill="FFFFFF"/>
            <w:vAlign w:val="center"/>
          </w:tcPr>
          <w:p w14:paraId="7203DCED">
            <w:pPr>
              <w:jc w:val="center"/>
              <w:rPr>
                <w:rFonts w:ascii="宋体" w:hAnsi="宋体" w:eastAsia="宋体" w:cs="宋体"/>
                <w:color w:val="000000"/>
                <w:sz w:val="20"/>
                <w:szCs w:val="20"/>
              </w:rPr>
            </w:pPr>
          </w:p>
        </w:tc>
        <w:tc>
          <w:tcPr>
            <w:tcW w:w="672" w:type="dxa"/>
            <w:vMerge w:val="continue"/>
            <w:shd w:val="clear" w:color="auto" w:fill="FFFFFF"/>
            <w:vAlign w:val="bottom"/>
          </w:tcPr>
          <w:p w14:paraId="072D2CA6">
            <w:pPr>
              <w:jc w:val="left"/>
              <w:rPr>
                <w:rFonts w:ascii="宋体" w:hAnsi="宋体" w:eastAsia="宋体" w:cs="宋体"/>
                <w:color w:val="000000"/>
                <w:sz w:val="20"/>
                <w:szCs w:val="20"/>
              </w:rPr>
            </w:pPr>
          </w:p>
        </w:tc>
      </w:tr>
      <w:tr w14:paraId="74F3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129C433">
            <w:pPr>
              <w:jc w:val="center"/>
              <w:rPr>
                <w:rFonts w:ascii="宋体" w:hAnsi="宋体" w:eastAsia="宋体" w:cs="宋体"/>
                <w:color w:val="000000"/>
                <w:sz w:val="20"/>
                <w:szCs w:val="20"/>
              </w:rPr>
            </w:pPr>
          </w:p>
        </w:tc>
        <w:tc>
          <w:tcPr>
            <w:tcW w:w="825" w:type="dxa"/>
            <w:vMerge w:val="continue"/>
            <w:shd w:val="clear" w:color="auto" w:fill="FFFFFF"/>
            <w:vAlign w:val="center"/>
          </w:tcPr>
          <w:p w14:paraId="7FB6008B">
            <w:pPr>
              <w:jc w:val="left"/>
              <w:rPr>
                <w:rFonts w:ascii="宋体" w:hAnsi="宋体" w:eastAsia="宋体" w:cs="宋体"/>
                <w:color w:val="000000"/>
                <w:sz w:val="20"/>
                <w:szCs w:val="20"/>
              </w:rPr>
            </w:pPr>
          </w:p>
        </w:tc>
        <w:tc>
          <w:tcPr>
            <w:tcW w:w="5780" w:type="dxa"/>
            <w:shd w:val="clear" w:color="auto" w:fill="FFFFFF"/>
            <w:vAlign w:val="center"/>
          </w:tcPr>
          <w:p w14:paraId="08FF04D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规格（需符合GB/T3976-2014《学校课桌椅功能尺寸及技术要求》</w:t>
            </w:r>
            <w:r>
              <w:rPr>
                <w:rFonts w:hint="eastAsia" w:ascii="宋体" w:hAnsi="宋体" w:eastAsia="宋体" w:cs="宋体"/>
                <w:sz w:val="21"/>
                <w:szCs w:val="21"/>
                <w:lang w:val="en-US" w:eastAsia="zh-CN"/>
              </w:rPr>
              <w:t>要求</w:t>
            </w:r>
            <w:r>
              <w:rPr>
                <w:rFonts w:hint="eastAsia" w:ascii="宋体" w:hAnsi="宋体" w:eastAsia="宋体" w:cs="宋体"/>
                <w:sz w:val="21"/>
                <w:szCs w:val="21"/>
              </w:rPr>
              <w:t>）:具体尺寸中标后依据学校要求确认，尺寸：650mm±</w:t>
            </w:r>
            <w:r>
              <w:rPr>
                <w:rFonts w:hint="eastAsia" w:ascii="宋体" w:hAnsi="宋体" w:eastAsia="宋体" w:cs="宋体"/>
                <w:sz w:val="21"/>
                <w:szCs w:val="21"/>
                <w:lang w:val="en-US" w:eastAsia="zh-CN"/>
              </w:rPr>
              <w:t>5</w:t>
            </w:r>
            <w:r>
              <w:rPr>
                <w:rFonts w:hint="eastAsia" w:ascii="宋体" w:hAnsi="宋体" w:eastAsia="宋体" w:cs="宋体"/>
                <w:sz w:val="21"/>
                <w:szCs w:val="21"/>
              </w:rPr>
              <w:t>mm×450mm±</w:t>
            </w:r>
            <w:r>
              <w:rPr>
                <w:rFonts w:hint="eastAsia" w:ascii="宋体" w:hAnsi="宋体" w:eastAsia="宋体" w:cs="宋体"/>
                <w:sz w:val="21"/>
                <w:szCs w:val="21"/>
                <w:lang w:val="en-US" w:eastAsia="zh-CN"/>
              </w:rPr>
              <w:t>5</w:t>
            </w:r>
            <w:r>
              <w:rPr>
                <w:rFonts w:hint="eastAsia" w:ascii="宋体" w:hAnsi="宋体" w:eastAsia="宋体" w:cs="宋体"/>
                <w:sz w:val="21"/>
                <w:szCs w:val="21"/>
              </w:rPr>
              <w:t>mm×25mm±5mm（注：供应商对产品参数可响应区间内任意值也可响应区间范围）。</w:t>
            </w:r>
          </w:p>
        </w:tc>
        <w:tc>
          <w:tcPr>
            <w:tcW w:w="712" w:type="dxa"/>
            <w:vMerge w:val="continue"/>
            <w:shd w:val="clear" w:color="auto" w:fill="FFFFFF"/>
            <w:vAlign w:val="center"/>
          </w:tcPr>
          <w:p w14:paraId="4D7D29E9">
            <w:pPr>
              <w:jc w:val="center"/>
              <w:rPr>
                <w:rFonts w:ascii="宋体" w:hAnsi="宋体" w:eastAsia="宋体" w:cs="宋体"/>
                <w:color w:val="000000"/>
                <w:sz w:val="20"/>
                <w:szCs w:val="20"/>
              </w:rPr>
            </w:pPr>
          </w:p>
        </w:tc>
        <w:tc>
          <w:tcPr>
            <w:tcW w:w="825" w:type="dxa"/>
            <w:vMerge w:val="continue"/>
            <w:shd w:val="clear" w:color="auto" w:fill="FFFFFF"/>
            <w:vAlign w:val="center"/>
          </w:tcPr>
          <w:p w14:paraId="30715278">
            <w:pPr>
              <w:jc w:val="center"/>
              <w:rPr>
                <w:rFonts w:ascii="宋体" w:hAnsi="宋体" w:eastAsia="宋体" w:cs="宋体"/>
                <w:color w:val="000000"/>
                <w:sz w:val="20"/>
                <w:szCs w:val="20"/>
              </w:rPr>
            </w:pPr>
          </w:p>
        </w:tc>
        <w:tc>
          <w:tcPr>
            <w:tcW w:w="672" w:type="dxa"/>
            <w:vMerge w:val="continue"/>
            <w:shd w:val="clear" w:color="auto" w:fill="FFFFFF"/>
            <w:vAlign w:val="bottom"/>
          </w:tcPr>
          <w:p w14:paraId="5EDB64AF">
            <w:pPr>
              <w:jc w:val="left"/>
              <w:rPr>
                <w:rFonts w:ascii="宋体" w:hAnsi="宋体" w:eastAsia="宋体" w:cs="宋体"/>
                <w:color w:val="000000"/>
                <w:sz w:val="20"/>
                <w:szCs w:val="20"/>
              </w:rPr>
            </w:pPr>
          </w:p>
        </w:tc>
      </w:tr>
      <w:tr w14:paraId="7122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6272D80">
            <w:pPr>
              <w:jc w:val="center"/>
              <w:rPr>
                <w:rFonts w:ascii="宋体" w:hAnsi="宋体" w:eastAsia="宋体" w:cs="宋体"/>
                <w:color w:val="000000"/>
                <w:sz w:val="20"/>
                <w:szCs w:val="20"/>
              </w:rPr>
            </w:pPr>
          </w:p>
        </w:tc>
        <w:tc>
          <w:tcPr>
            <w:tcW w:w="825" w:type="dxa"/>
            <w:vMerge w:val="continue"/>
            <w:shd w:val="clear" w:color="auto" w:fill="FFFFFF"/>
            <w:vAlign w:val="center"/>
          </w:tcPr>
          <w:p w14:paraId="7B7E0E92">
            <w:pPr>
              <w:jc w:val="left"/>
              <w:rPr>
                <w:rFonts w:ascii="宋体" w:hAnsi="宋体" w:eastAsia="宋体" w:cs="宋体"/>
                <w:color w:val="000000"/>
                <w:sz w:val="20"/>
                <w:szCs w:val="20"/>
              </w:rPr>
            </w:pPr>
          </w:p>
        </w:tc>
        <w:tc>
          <w:tcPr>
            <w:tcW w:w="5780" w:type="dxa"/>
            <w:shd w:val="clear" w:color="auto" w:fill="FFFFFF"/>
            <w:vAlign w:val="center"/>
          </w:tcPr>
          <w:p w14:paraId="3A0877C7">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功能</w:t>
            </w:r>
          </w:p>
          <w:p w14:paraId="61BA4389">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桌面靠胸前端处有一內弧造型设计</w:t>
            </w:r>
            <w:r>
              <w:rPr>
                <w:rFonts w:hint="eastAsia" w:ascii="宋体" w:hAnsi="宋体" w:eastAsia="宋体" w:cs="宋体"/>
                <w:color w:val="000000"/>
                <w:sz w:val="21"/>
                <w:szCs w:val="21"/>
              </w:rPr>
              <w:t>，桌面前端处设置有一长型凹形笔槽500mm</w:t>
            </w:r>
            <w:r>
              <w:rPr>
                <w:rFonts w:hint="eastAsia" w:ascii="宋体" w:hAnsi="宋体" w:eastAsia="宋体" w:cs="宋体"/>
                <w:color w:val="000000"/>
                <w:sz w:val="21"/>
                <w:szCs w:val="21"/>
                <w:lang w:eastAsia="zh-CN"/>
              </w:rPr>
              <w:t>±5mm</w:t>
            </w:r>
            <w:r>
              <w:rPr>
                <w:rFonts w:hint="eastAsia" w:ascii="宋体" w:hAnsi="宋体" w:eastAsia="宋体" w:cs="宋体"/>
                <w:color w:val="000000"/>
                <w:sz w:val="21"/>
                <w:szCs w:val="21"/>
              </w:rPr>
              <w:t>×15mm±2mm，桌面两侧与前沿设置一冂字型防落凸条宽度13mm±2mm凸条，凸高3mm±1mm总长度为1440mm</w:t>
            </w:r>
            <w:r>
              <w:rPr>
                <w:rFonts w:hint="eastAsia" w:ascii="宋体" w:hAnsi="宋体" w:eastAsia="宋体" w:cs="宋体"/>
                <w:color w:val="000000"/>
                <w:sz w:val="21"/>
                <w:szCs w:val="21"/>
                <w:lang w:eastAsia="zh-CN"/>
              </w:rPr>
              <w:t>±5mm</w:t>
            </w:r>
            <w:r>
              <w:rPr>
                <w:rFonts w:hint="eastAsia" w:ascii="宋体" w:hAnsi="宋体" w:eastAsia="宋体" w:cs="宋体"/>
                <w:color w:val="000000"/>
                <w:sz w:val="21"/>
                <w:szCs w:val="21"/>
              </w:rPr>
              <w:t>。表面得需有细蚀纹(咬花),不得有反光现象。</w:t>
            </w:r>
          </w:p>
          <w:p w14:paraId="4EF8E1B5">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桌面四周及底部完全不得有毛边，都得倒圆角光滑不刮手。</w:t>
            </w:r>
          </w:p>
          <w:p w14:paraId="4F335F40">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color w:val="000000"/>
                <w:sz w:val="20"/>
                <w:szCs w:val="20"/>
              </w:rPr>
            </w:pPr>
            <w:r>
              <w:rPr>
                <w:rFonts w:hint="eastAsia" w:ascii="宋体" w:hAnsi="宋体" w:eastAsia="宋体" w:cs="宋体"/>
                <w:color w:val="000000"/>
                <w:sz w:val="21"/>
                <w:szCs w:val="21"/>
              </w:rPr>
              <w:t>面板底部有強化安全承重之设计。锁入双钢管支撑，并与面板底部平齐。面板底部外侧横向加强筋不少于8条、纵向加强筋不少于8条，加固桌面承重，不易变形。</w:t>
            </w:r>
          </w:p>
        </w:tc>
        <w:tc>
          <w:tcPr>
            <w:tcW w:w="712" w:type="dxa"/>
            <w:vMerge w:val="continue"/>
            <w:shd w:val="clear" w:color="auto" w:fill="FFFFFF"/>
            <w:vAlign w:val="center"/>
          </w:tcPr>
          <w:p w14:paraId="10F5ED01">
            <w:pPr>
              <w:jc w:val="center"/>
              <w:rPr>
                <w:rFonts w:ascii="宋体" w:hAnsi="宋体" w:eastAsia="宋体" w:cs="宋体"/>
                <w:color w:val="000000"/>
                <w:sz w:val="20"/>
                <w:szCs w:val="20"/>
              </w:rPr>
            </w:pPr>
          </w:p>
        </w:tc>
        <w:tc>
          <w:tcPr>
            <w:tcW w:w="825" w:type="dxa"/>
            <w:vMerge w:val="continue"/>
            <w:shd w:val="clear" w:color="auto" w:fill="FFFFFF"/>
            <w:vAlign w:val="center"/>
          </w:tcPr>
          <w:p w14:paraId="5E37F4A5">
            <w:pPr>
              <w:jc w:val="center"/>
              <w:rPr>
                <w:rFonts w:ascii="宋体" w:hAnsi="宋体" w:eastAsia="宋体" w:cs="宋体"/>
                <w:color w:val="000000"/>
                <w:sz w:val="20"/>
                <w:szCs w:val="20"/>
              </w:rPr>
            </w:pPr>
          </w:p>
        </w:tc>
        <w:tc>
          <w:tcPr>
            <w:tcW w:w="672" w:type="dxa"/>
            <w:vMerge w:val="continue"/>
            <w:shd w:val="clear" w:color="auto" w:fill="FFFFFF"/>
            <w:vAlign w:val="bottom"/>
          </w:tcPr>
          <w:p w14:paraId="504D84EE">
            <w:pPr>
              <w:jc w:val="left"/>
              <w:rPr>
                <w:rFonts w:ascii="宋体" w:hAnsi="宋体" w:eastAsia="宋体" w:cs="宋体"/>
                <w:color w:val="000000"/>
                <w:sz w:val="20"/>
                <w:szCs w:val="20"/>
              </w:rPr>
            </w:pPr>
          </w:p>
        </w:tc>
      </w:tr>
      <w:tr w14:paraId="70F8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08B063D">
            <w:pPr>
              <w:jc w:val="center"/>
              <w:rPr>
                <w:rFonts w:ascii="宋体" w:hAnsi="宋体" w:eastAsia="宋体" w:cs="宋体"/>
                <w:color w:val="000000"/>
                <w:sz w:val="20"/>
                <w:szCs w:val="20"/>
              </w:rPr>
            </w:pPr>
          </w:p>
        </w:tc>
        <w:tc>
          <w:tcPr>
            <w:tcW w:w="825" w:type="dxa"/>
            <w:vMerge w:val="continue"/>
            <w:shd w:val="clear" w:color="auto" w:fill="FFFFFF"/>
            <w:vAlign w:val="center"/>
          </w:tcPr>
          <w:p w14:paraId="15038933">
            <w:pPr>
              <w:jc w:val="left"/>
              <w:rPr>
                <w:rFonts w:ascii="宋体" w:hAnsi="宋体" w:eastAsia="宋体" w:cs="宋体"/>
                <w:color w:val="000000"/>
                <w:sz w:val="20"/>
                <w:szCs w:val="20"/>
              </w:rPr>
            </w:pPr>
          </w:p>
        </w:tc>
        <w:tc>
          <w:tcPr>
            <w:tcW w:w="5780" w:type="dxa"/>
            <w:shd w:val="clear" w:color="auto" w:fill="FFFFFF"/>
            <w:vAlign w:val="center"/>
          </w:tcPr>
          <w:p w14:paraId="3A562F1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rPr>
            </w:pPr>
            <w:r>
              <w:rPr>
                <w:rFonts w:hint="eastAsia" w:ascii="宋体" w:hAnsi="宋体" w:eastAsia="宋体" w:cs="宋体"/>
                <w:b/>
                <w:bCs/>
                <w:color w:val="000000"/>
                <w:sz w:val="21"/>
                <w:szCs w:val="21"/>
              </w:rPr>
              <w:t>B.书箱</w:t>
            </w:r>
          </w:p>
        </w:tc>
        <w:tc>
          <w:tcPr>
            <w:tcW w:w="712" w:type="dxa"/>
            <w:vMerge w:val="continue"/>
            <w:shd w:val="clear" w:color="auto" w:fill="FFFFFF"/>
            <w:vAlign w:val="center"/>
          </w:tcPr>
          <w:p w14:paraId="6CFB051C">
            <w:pPr>
              <w:jc w:val="center"/>
              <w:rPr>
                <w:rFonts w:ascii="宋体" w:hAnsi="宋体" w:eastAsia="宋体" w:cs="宋体"/>
                <w:color w:val="000000"/>
                <w:sz w:val="20"/>
                <w:szCs w:val="20"/>
              </w:rPr>
            </w:pPr>
          </w:p>
        </w:tc>
        <w:tc>
          <w:tcPr>
            <w:tcW w:w="825" w:type="dxa"/>
            <w:vMerge w:val="continue"/>
            <w:shd w:val="clear" w:color="auto" w:fill="FFFFFF"/>
            <w:vAlign w:val="center"/>
          </w:tcPr>
          <w:p w14:paraId="36D8F6D7">
            <w:pPr>
              <w:jc w:val="center"/>
              <w:rPr>
                <w:rFonts w:ascii="宋体" w:hAnsi="宋体" w:eastAsia="宋体" w:cs="宋体"/>
                <w:color w:val="000000"/>
                <w:sz w:val="20"/>
                <w:szCs w:val="20"/>
              </w:rPr>
            </w:pPr>
          </w:p>
        </w:tc>
        <w:tc>
          <w:tcPr>
            <w:tcW w:w="672" w:type="dxa"/>
            <w:vMerge w:val="continue"/>
            <w:shd w:val="clear" w:color="auto" w:fill="FFFFFF"/>
            <w:vAlign w:val="bottom"/>
          </w:tcPr>
          <w:p w14:paraId="7BCC5286">
            <w:pPr>
              <w:jc w:val="left"/>
              <w:rPr>
                <w:rFonts w:ascii="宋体" w:hAnsi="宋体" w:eastAsia="宋体" w:cs="宋体"/>
                <w:color w:val="000000"/>
                <w:sz w:val="20"/>
                <w:szCs w:val="20"/>
              </w:rPr>
            </w:pPr>
          </w:p>
        </w:tc>
      </w:tr>
      <w:tr w14:paraId="3D36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4FFD279">
            <w:pPr>
              <w:jc w:val="center"/>
              <w:rPr>
                <w:rFonts w:ascii="宋体" w:hAnsi="宋体" w:eastAsia="宋体" w:cs="宋体"/>
                <w:color w:val="000000"/>
                <w:sz w:val="20"/>
                <w:szCs w:val="20"/>
              </w:rPr>
            </w:pPr>
          </w:p>
        </w:tc>
        <w:tc>
          <w:tcPr>
            <w:tcW w:w="825" w:type="dxa"/>
            <w:vMerge w:val="continue"/>
            <w:shd w:val="clear" w:color="auto" w:fill="FFFFFF"/>
            <w:vAlign w:val="center"/>
          </w:tcPr>
          <w:p w14:paraId="6CE10350">
            <w:pPr>
              <w:jc w:val="left"/>
              <w:rPr>
                <w:rFonts w:ascii="宋体" w:hAnsi="宋体" w:eastAsia="宋体" w:cs="宋体"/>
                <w:color w:val="000000"/>
                <w:sz w:val="20"/>
                <w:szCs w:val="20"/>
              </w:rPr>
            </w:pPr>
          </w:p>
        </w:tc>
        <w:tc>
          <w:tcPr>
            <w:tcW w:w="5780" w:type="dxa"/>
            <w:shd w:val="clear" w:color="auto" w:fill="FFFFFF"/>
            <w:vAlign w:val="center"/>
          </w:tcPr>
          <w:p w14:paraId="5DD6BCA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 xml:space="preserve">材质：PP塑料（塑胶） </w:t>
            </w:r>
          </w:p>
        </w:tc>
        <w:tc>
          <w:tcPr>
            <w:tcW w:w="712" w:type="dxa"/>
            <w:vMerge w:val="continue"/>
            <w:shd w:val="clear" w:color="auto" w:fill="FFFFFF"/>
            <w:vAlign w:val="center"/>
          </w:tcPr>
          <w:p w14:paraId="090F8FAD">
            <w:pPr>
              <w:jc w:val="center"/>
              <w:rPr>
                <w:rFonts w:ascii="宋体" w:hAnsi="宋体" w:eastAsia="宋体" w:cs="宋体"/>
                <w:color w:val="000000"/>
                <w:sz w:val="20"/>
                <w:szCs w:val="20"/>
              </w:rPr>
            </w:pPr>
          </w:p>
        </w:tc>
        <w:tc>
          <w:tcPr>
            <w:tcW w:w="825" w:type="dxa"/>
            <w:vMerge w:val="continue"/>
            <w:shd w:val="clear" w:color="auto" w:fill="FFFFFF"/>
            <w:vAlign w:val="center"/>
          </w:tcPr>
          <w:p w14:paraId="096F16AC">
            <w:pPr>
              <w:jc w:val="center"/>
              <w:rPr>
                <w:rFonts w:ascii="宋体" w:hAnsi="宋体" w:eastAsia="宋体" w:cs="宋体"/>
                <w:color w:val="000000"/>
                <w:sz w:val="20"/>
                <w:szCs w:val="20"/>
              </w:rPr>
            </w:pPr>
          </w:p>
        </w:tc>
        <w:tc>
          <w:tcPr>
            <w:tcW w:w="672" w:type="dxa"/>
            <w:vMerge w:val="continue"/>
            <w:shd w:val="clear" w:color="auto" w:fill="FFFFFF"/>
            <w:vAlign w:val="bottom"/>
          </w:tcPr>
          <w:p w14:paraId="4A168152">
            <w:pPr>
              <w:jc w:val="left"/>
              <w:rPr>
                <w:rFonts w:ascii="宋体" w:hAnsi="宋体" w:eastAsia="宋体" w:cs="宋体"/>
                <w:color w:val="000000"/>
                <w:sz w:val="20"/>
                <w:szCs w:val="20"/>
              </w:rPr>
            </w:pPr>
          </w:p>
        </w:tc>
      </w:tr>
      <w:tr w14:paraId="2250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9665F6D">
            <w:pPr>
              <w:jc w:val="center"/>
              <w:rPr>
                <w:rFonts w:ascii="宋体" w:hAnsi="宋体" w:eastAsia="宋体" w:cs="宋体"/>
                <w:color w:val="000000"/>
                <w:sz w:val="20"/>
                <w:szCs w:val="20"/>
              </w:rPr>
            </w:pPr>
          </w:p>
        </w:tc>
        <w:tc>
          <w:tcPr>
            <w:tcW w:w="825" w:type="dxa"/>
            <w:vMerge w:val="continue"/>
            <w:shd w:val="clear" w:color="auto" w:fill="FFFFFF"/>
            <w:vAlign w:val="center"/>
          </w:tcPr>
          <w:p w14:paraId="0A7E116C">
            <w:pPr>
              <w:jc w:val="left"/>
              <w:rPr>
                <w:rFonts w:ascii="宋体" w:hAnsi="宋体" w:eastAsia="宋体" w:cs="宋体"/>
                <w:color w:val="000000"/>
                <w:sz w:val="20"/>
                <w:szCs w:val="20"/>
              </w:rPr>
            </w:pPr>
          </w:p>
        </w:tc>
        <w:tc>
          <w:tcPr>
            <w:tcW w:w="5780" w:type="dxa"/>
            <w:shd w:val="clear" w:color="auto" w:fill="FFFFFF"/>
            <w:vAlign w:val="center"/>
          </w:tcPr>
          <w:p w14:paraId="073265C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kern w:val="2"/>
                <w:sz w:val="21"/>
                <w:szCs w:val="21"/>
                <w:lang w:val="en-US" w:eastAsia="zh-CN" w:bidi="ar-SA"/>
              </w:rPr>
              <w:t>▲课桌书箱PP塑料（塑胶）：有害物质限量要求-重金属（可溶性镉（Cd）≤75mg/kg、可溶性铅（Pb）≤90mg/kg、可溶性铬（Cr）≤60mg/kg、可溶性汞（Hg）≤60mg/kg）、多溴联苯(PBB)≤1000mg/kg、多溴二苯醚(PBDE)≤1000mg/kg、邻苯二甲酸二丁酯(DBP)≤0.1%、邻苯二甲酸丁酯苄酯(BBP)≤0.1%、邻苯二甲酸二(2-乙基己基)酯(DEHP)≤0.1%、邻苯二甲酸二正辛酯(DNOP)≤0.1%、邻苯二甲酸二异壬酯(DINP)≤0.1%、邻苯二甲酸二异癸酯(DIDP)≤0.1%、苯并[a]芘≤1.0mg/kg、16种多环芳烃（PAH）总量≤10mg/kg；检验项目单项结论均符合要求；检测依据:SN/T 2005.2-2005电子电气产品中多溴联苯和多溴联苯醚的测定第2部分:气相色谱质谱法,SN/T 1877.2-2007 塑料原料及其制品中多环芳烃的测定方法。</w:t>
            </w:r>
            <w:r>
              <w:rPr>
                <w:rFonts w:hint="eastAsia" w:ascii="宋体" w:hAnsi="宋体" w:eastAsia="宋体" w:cs="宋体"/>
                <w:b/>
                <w:bCs/>
                <w:color w:val="0000F4"/>
                <w:kern w:val="2"/>
                <w:sz w:val="21"/>
                <w:szCs w:val="21"/>
                <w:lang w:val="en-US" w:eastAsia="zh-CN" w:bidi="ar-SA"/>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p>
        </w:tc>
        <w:tc>
          <w:tcPr>
            <w:tcW w:w="712" w:type="dxa"/>
            <w:vMerge w:val="continue"/>
            <w:shd w:val="clear" w:color="auto" w:fill="FFFFFF"/>
            <w:vAlign w:val="center"/>
          </w:tcPr>
          <w:p w14:paraId="3B1E9C9B">
            <w:pPr>
              <w:jc w:val="center"/>
              <w:rPr>
                <w:rFonts w:ascii="宋体" w:hAnsi="宋体" w:eastAsia="宋体" w:cs="宋体"/>
                <w:color w:val="000000"/>
                <w:sz w:val="20"/>
                <w:szCs w:val="20"/>
              </w:rPr>
            </w:pPr>
          </w:p>
        </w:tc>
        <w:tc>
          <w:tcPr>
            <w:tcW w:w="825" w:type="dxa"/>
            <w:vMerge w:val="continue"/>
            <w:shd w:val="clear" w:color="auto" w:fill="FFFFFF"/>
            <w:vAlign w:val="center"/>
          </w:tcPr>
          <w:p w14:paraId="11982096">
            <w:pPr>
              <w:jc w:val="center"/>
              <w:rPr>
                <w:rFonts w:ascii="宋体" w:hAnsi="宋体" w:eastAsia="宋体" w:cs="宋体"/>
                <w:color w:val="000000"/>
                <w:sz w:val="20"/>
                <w:szCs w:val="20"/>
              </w:rPr>
            </w:pPr>
          </w:p>
        </w:tc>
        <w:tc>
          <w:tcPr>
            <w:tcW w:w="672" w:type="dxa"/>
            <w:vMerge w:val="continue"/>
            <w:shd w:val="clear" w:color="auto" w:fill="FFFFFF"/>
            <w:vAlign w:val="bottom"/>
          </w:tcPr>
          <w:p w14:paraId="38FDC8E9">
            <w:pPr>
              <w:jc w:val="left"/>
              <w:rPr>
                <w:rFonts w:ascii="宋体" w:hAnsi="宋体" w:eastAsia="宋体" w:cs="宋体"/>
                <w:color w:val="000000"/>
                <w:sz w:val="20"/>
                <w:szCs w:val="20"/>
              </w:rPr>
            </w:pPr>
          </w:p>
        </w:tc>
      </w:tr>
      <w:tr w14:paraId="123A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024BD03">
            <w:pPr>
              <w:jc w:val="center"/>
              <w:rPr>
                <w:rFonts w:ascii="宋体" w:hAnsi="宋体" w:eastAsia="宋体" w:cs="宋体"/>
                <w:color w:val="000000"/>
                <w:sz w:val="20"/>
                <w:szCs w:val="20"/>
              </w:rPr>
            </w:pPr>
          </w:p>
        </w:tc>
        <w:tc>
          <w:tcPr>
            <w:tcW w:w="825" w:type="dxa"/>
            <w:vMerge w:val="continue"/>
            <w:shd w:val="clear" w:color="auto" w:fill="FFFFFF"/>
            <w:vAlign w:val="center"/>
          </w:tcPr>
          <w:p w14:paraId="683EFF15">
            <w:pPr>
              <w:jc w:val="left"/>
              <w:rPr>
                <w:rFonts w:ascii="宋体" w:hAnsi="宋体" w:eastAsia="宋体" w:cs="宋体"/>
                <w:color w:val="000000"/>
                <w:sz w:val="20"/>
                <w:szCs w:val="20"/>
              </w:rPr>
            </w:pPr>
          </w:p>
        </w:tc>
        <w:tc>
          <w:tcPr>
            <w:tcW w:w="5780" w:type="dxa"/>
            <w:shd w:val="clear" w:color="auto" w:fill="FFFFFF"/>
            <w:vAlign w:val="center"/>
          </w:tcPr>
          <w:p w14:paraId="26E21BC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规格：内径尺寸：450mm±</w:t>
            </w:r>
            <w:r>
              <w:rPr>
                <w:rFonts w:hint="eastAsia" w:ascii="宋体" w:hAnsi="宋体" w:eastAsia="宋体" w:cs="宋体"/>
                <w:sz w:val="21"/>
                <w:szCs w:val="21"/>
                <w:lang w:val="en-US" w:eastAsia="zh-CN"/>
              </w:rPr>
              <w:t>5</w:t>
            </w:r>
            <w:r>
              <w:rPr>
                <w:rFonts w:hint="eastAsia" w:ascii="宋体" w:hAnsi="宋体" w:eastAsia="宋体" w:cs="宋体"/>
                <w:sz w:val="21"/>
                <w:szCs w:val="21"/>
              </w:rPr>
              <w:t>mm×330mm±</w:t>
            </w:r>
            <w:r>
              <w:rPr>
                <w:rFonts w:hint="eastAsia" w:ascii="宋体" w:hAnsi="宋体" w:eastAsia="宋体" w:cs="宋体"/>
                <w:sz w:val="21"/>
                <w:szCs w:val="21"/>
                <w:lang w:val="en-US" w:eastAsia="zh-CN"/>
              </w:rPr>
              <w:t>5</w:t>
            </w:r>
            <w:r>
              <w:rPr>
                <w:rFonts w:hint="eastAsia" w:ascii="宋体" w:hAnsi="宋体" w:eastAsia="宋体" w:cs="宋体"/>
                <w:sz w:val="21"/>
                <w:szCs w:val="21"/>
              </w:rPr>
              <w:t>mm×90mm±</w:t>
            </w:r>
            <w:r>
              <w:rPr>
                <w:rFonts w:hint="eastAsia" w:ascii="宋体" w:hAnsi="宋体" w:eastAsia="宋体" w:cs="宋体"/>
                <w:sz w:val="21"/>
                <w:szCs w:val="21"/>
                <w:lang w:val="en-US" w:eastAsia="zh-CN"/>
              </w:rPr>
              <w:t>5</w:t>
            </w:r>
            <w:r>
              <w:rPr>
                <w:rFonts w:hint="eastAsia" w:ascii="宋体" w:hAnsi="宋体" w:eastAsia="宋体" w:cs="宋体"/>
                <w:sz w:val="21"/>
                <w:szCs w:val="21"/>
              </w:rPr>
              <w:t>mm；外径尺寸：500mm±</w:t>
            </w:r>
            <w:r>
              <w:rPr>
                <w:rFonts w:hint="eastAsia" w:ascii="宋体" w:hAnsi="宋体" w:eastAsia="宋体" w:cs="宋体"/>
                <w:sz w:val="21"/>
                <w:szCs w:val="21"/>
                <w:lang w:val="en-US" w:eastAsia="zh-CN"/>
              </w:rPr>
              <w:t>5</w:t>
            </w:r>
            <w:r>
              <w:rPr>
                <w:rFonts w:hint="eastAsia" w:ascii="宋体" w:hAnsi="宋体" w:eastAsia="宋体" w:cs="宋体"/>
                <w:sz w:val="21"/>
                <w:szCs w:val="21"/>
              </w:rPr>
              <w:t>mm×340mm±</w:t>
            </w:r>
            <w:r>
              <w:rPr>
                <w:rFonts w:hint="eastAsia" w:ascii="宋体" w:hAnsi="宋体" w:eastAsia="宋体" w:cs="宋体"/>
                <w:sz w:val="21"/>
                <w:szCs w:val="21"/>
                <w:lang w:val="en-US" w:eastAsia="zh-CN"/>
              </w:rPr>
              <w:t>5</w:t>
            </w:r>
            <w:r>
              <w:rPr>
                <w:rFonts w:hint="eastAsia" w:ascii="宋体" w:hAnsi="宋体" w:eastAsia="宋体" w:cs="宋体"/>
                <w:sz w:val="21"/>
                <w:szCs w:val="21"/>
              </w:rPr>
              <w:t>mm×100mm±</w:t>
            </w:r>
            <w:r>
              <w:rPr>
                <w:rFonts w:hint="eastAsia" w:ascii="宋体" w:hAnsi="宋体" w:eastAsia="宋体" w:cs="宋体"/>
                <w:sz w:val="21"/>
                <w:szCs w:val="21"/>
                <w:lang w:val="en-US" w:eastAsia="zh-CN"/>
              </w:rPr>
              <w:t>5</w:t>
            </w:r>
            <w:r>
              <w:rPr>
                <w:rFonts w:hint="eastAsia" w:ascii="宋体" w:hAnsi="宋体" w:eastAsia="宋体" w:cs="宋体"/>
                <w:sz w:val="21"/>
                <w:szCs w:val="21"/>
              </w:rPr>
              <w:t>mm。（需符合GB/T3976-2014《学校课桌椅功能尺寸及技术要求》</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712" w:type="dxa"/>
            <w:vMerge w:val="continue"/>
            <w:shd w:val="clear" w:color="auto" w:fill="FFFFFF"/>
            <w:vAlign w:val="center"/>
          </w:tcPr>
          <w:p w14:paraId="6603B855">
            <w:pPr>
              <w:jc w:val="center"/>
              <w:rPr>
                <w:rFonts w:ascii="宋体" w:hAnsi="宋体" w:eastAsia="宋体" w:cs="宋体"/>
                <w:color w:val="000000"/>
                <w:sz w:val="20"/>
                <w:szCs w:val="20"/>
              </w:rPr>
            </w:pPr>
          </w:p>
        </w:tc>
        <w:tc>
          <w:tcPr>
            <w:tcW w:w="825" w:type="dxa"/>
            <w:vMerge w:val="continue"/>
            <w:shd w:val="clear" w:color="auto" w:fill="FFFFFF"/>
            <w:vAlign w:val="center"/>
          </w:tcPr>
          <w:p w14:paraId="6F98696B">
            <w:pPr>
              <w:jc w:val="center"/>
              <w:rPr>
                <w:rFonts w:ascii="宋体" w:hAnsi="宋体" w:eastAsia="宋体" w:cs="宋体"/>
                <w:color w:val="000000"/>
                <w:sz w:val="20"/>
                <w:szCs w:val="20"/>
              </w:rPr>
            </w:pPr>
          </w:p>
        </w:tc>
        <w:tc>
          <w:tcPr>
            <w:tcW w:w="672" w:type="dxa"/>
            <w:vMerge w:val="continue"/>
            <w:shd w:val="clear" w:color="auto" w:fill="FFFFFF"/>
            <w:vAlign w:val="bottom"/>
          </w:tcPr>
          <w:p w14:paraId="657D75B7">
            <w:pPr>
              <w:jc w:val="left"/>
              <w:rPr>
                <w:rFonts w:ascii="宋体" w:hAnsi="宋体" w:eastAsia="宋体" w:cs="宋体"/>
                <w:color w:val="000000"/>
                <w:sz w:val="20"/>
                <w:szCs w:val="20"/>
              </w:rPr>
            </w:pPr>
          </w:p>
        </w:tc>
      </w:tr>
      <w:tr w14:paraId="1BF8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8BE8D24">
            <w:pPr>
              <w:jc w:val="center"/>
              <w:rPr>
                <w:rFonts w:ascii="宋体" w:hAnsi="宋体" w:eastAsia="宋体" w:cs="宋体"/>
                <w:color w:val="000000"/>
                <w:sz w:val="20"/>
                <w:szCs w:val="20"/>
              </w:rPr>
            </w:pPr>
          </w:p>
        </w:tc>
        <w:tc>
          <w:tcPr>
            <w:tcW w:w="825" w:type="dxa"/>
            <w:vMerge w:val="continue"/>
            <w:shd w:val="clear" w:color="auto" w:fill="FFFFFF"/>
            <w:vAlign w:val="center"/>
          </w:tcPr>
          <w:p w14:paraId="1423096B">
            <w:pPr>
              <w:jc w:val="left"/>
              <w:rPr>
                <w:rFonts w:ascii="宋体" w:hAnsi="宋体" w:eastAsia="宋体" w:cs="宋体"/>
                <w:color w:val="000000"/>
                <w:sz w:val="20"/>
                <w:szCs w:val="20"/>
              </w:rPr>
            </w:pPr>
          </w:p>
        </w:tc>
        <w:tc>
          <w:tcPr>
            <w:tcW w:w="5780" w:type="dxa"/>
            <w:shd w:val="clear" w:color="auto" w:fill="FFFFFF"/>
            <w:vAlign w:val="center"/>
          </w:tcPr>
          <w:p w14:paraId="64C155A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书箱技术至少满足以下要求：书箱内部前沿设有370mm</w:t>
            </w:r>
            <w:r>
              <w:rPr>
                <w:rFonts w:hint="eastAsia" w:ascii="宋体" w:hAnsi="宋体" w:eastAsia="宋体" w:cs="宋体"/>
                <w:sz w:val="21"/>
                <w:szCs w:val="21"/>
                <w:lang w:eastAsia="zh-CN"/>
              </w:rPr>
              <w:t>±5mm</w:t>
            </w:r>
            <w:r>
              <w:rPr>
                <w:rFonts w:hint="eastAsia" w:ascii="宋体" w:hAnsi="宋体" w:eastAsia="宋体" w:cs="宋体"/>
                <w:sz w:val="21"/>
                <w:szCs w:val="21"/>
              </w:rPr>
              <w:t>*60mm</w:t>
            </w:r>
            <w:r>
              <w:rPr>
                <w:rFonts w:hint="eastAsia" w:ascii="宋体" w:hAnsi="宋体" w:eastAsia="宋体" w:cs="宋体"/>
                <w:sz w:val="21"/>
                <w:szCs w:val="21"/>
                <w:lang w:eastAsia="zh-CN"/>
              </w:rPr>
              <w:t>±5mm</w:t>
            </w:r>
            <w:r>
              <w:rPr>
                <w:rFonts w:hint="eastAsia" w:ascii="宋体" w:hAnsi="宋体" w:eastAsia="宋体" w:cs="宋体"/>
                <w:sz w:val="21"/>
                <w:szCs w:val="21"/>
              </w:rPr>
              <w:t>梯形凹槽方便储放笔和橡皮擦等小文具。底部有排水槽缝设计（宽度≤5mm）不少于44条，方便清洗或擦拭底部易排水通风干燥。书箱三墙面为弧型设计，无尖角，确保学生安全。书箱外围倒圆角光滑不刮手，无毛边。</w:t>
            </w:r>
            <w:r>
              <w:rPr>
                <w:rFonts w:hint="eastAsia" w:ascii="宋体" w:hAnsi="宋体" w:eastAsia="宋体" w:cs="宋体"/>
                <w:sz w:val="21"/>
                <w:szCs w:val="21"/>
                <w:lang w:val="en-US" w:eastAsia="zh-CN"/>
              </w:rPr>
              <w:t>书箱底部外侧横向加强筋不少于6条、纵向加强筋不少于3条，加固承重，不易变形。左右两侧各有连体多功能挂钩87mm±5mm×38mm±5mm×26mm±5mm，书箱与挂钩一体成型设计。</w:t>
            </w:r>
          </w:p>
        </w:tc>
        <w:tc>
          <w:tcPr>
            <w:tcW w:w="712" w:type="dxa"/>
            <w:vMerge w:val="continue"/>
            <w:shd w:val="clear" w:color="auto" w:fill="FFFFFF"/>
            <w:vAlign w:val="center"/>
          </w:tcPr>
          <w:p w14:paraId="494D45E6">
            <w:pPr>
              <w:jc w:val="center"/>
              <w:rPr>
                <w:rFonts w:ascii="宋体" w:hAnsi="宋体" w:eastAsia="宋体" w:cs="宋体"/>
                <w:color w:val="000000"/>
                <w:sz w:val="20"/>
                <w:szCs w:val="20"/>
              </w:rPr>
            </w:pPr>
          </w:p>
        </w:tc>
        <w:tc>
          <w:tcPr>
            <w:tcW w:w="825" w:type="dxa"/>
            <w:vMerge w:val="continue"/>
            <w:shd w:val="clear" w:color="auto" w:fill="FFFFFF"/>
            <w:vAlign w:val="center"/>
          </w:tcPr>
          <w:p w14:paraId="2357CBC1">
            <w:pPr>
              <w:jc w:val="center"/>
              <w:rPr>
                <w:rFonts w:ascii="宋体" w:hAnsi="宋体" w:eastAsia="宋体" w:cs="宋体"/>
                <w:color w:val="000000"/>
                <w:sz w:val="20"/>
                <w:szCs w:val="20"/>
              </w:rPr>
            </w:pPr>
          </w:p>
        </w:tc>
        <w:tc>
          <w:tcPr>
            <w:tcW w:w="672" w:type="dxa"/>
            <w:vMerge w:val="continue"/>
            <w:shd w:val="clear" w:color="auto" w:fill="FFFFFF"/>
            <w:vAlign w:val="bottom"/>
          </w:tcPr>
          <w:p w14:paraId="694CDF5B">
            <w:pPr>
              <w:jc w:val="left"/>
              <w:rPr>
                <w:rFonts w:ascii="宋体" w:hAnsi="宋体" w:eastAsia="宋体" w:cs="宋体"/>
                <w:color w:val="000000"/>
                <w:sz w:val="20"/>
                <w:szCs w:val="20"/>
              </w:rPr>
            </w:pPr>
          </w:p>
        </w:tc>
      </w:tr>
      <w:tr w14:paraId="113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555AF64">
            <w:pPr>
              <w:jc w:val="center"/>
              <w:rPr>
                <w:rFonts w:ascii="宋体" w:hAnsi="宋体" w:eastAsia="宋体" w:cs="宋体"/>
                <w:color w:val="000000"/>
                <w:sz w:val="20"/>
                <w:szCs w:val="20"/>
              </w:rPr>
            </w:pPr>
          </w:p>
        </w:tc>
        <w:tc>
          <w:tcPr>
            <w:tcW w:w="825" w:type="dxa"/>
            <w:vMerge w:val="continue"/>
            <w:shd w:val="clear" w:color="auto" w:fill="FFFFFF"/>
            <w:vAlign w:val="center"/>
          </w:tcPr>
          <w:p w14:paraId="7FDFFF67">
            <w:pPr>
              <w:jc w:val="left"/>
              <w:rPr>
                <w:rFonts w:ascii="宋体" w:hAnsi="宋体" w:eastAsia="宋体" w:cs="宋体"/>
                <w:color w:val="000000"/>
                <w:sz w:val="20"/>
                <w:szCs w:val="20"/>
              </w:rPr>
            </w:pPr>
          </w:p>
        </w:tc>
        <w:tc>
          <w:tcPr>
            <w:tcW w:w="5780" w:type="dxa"/>
            <w:shd w:val="clear" w:color="auto" w:fill="FFFFFF"/>
            <w:vAlign w:val="center"/>
          </w:tcPr>
          <w:p w14:paraId="1402EC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rPr>
            </w:pPr>
            <w:r>
              <w:rPr>
                <w:rFonts w:hint="eastAsia" w:ascii="宋体" w:hAnsi="宋体" w:eastAsia="宋体" w:cs="宋体"/>
                <w:b/>
                <w:bCs/>
                <w:sz w:val="21"/>
                <w:szCs w:val="21"/>
              </w:rPr>
              <w:t>C.桌脚钢架</w:t>
            </w:r>
          </w:p>
        </w:tc>
        <w:tc>
          <w:tcPr>
            <w:tcW w:w="712" w:type="dxa"/>
            <w:vMerge w:val="continue"/>
            <w:shd w:val="clear" w:color="auto" w:fill="FFFFFF"/>
            <w:vAlign w:val="center"/>
          </w:tcPr>
          <w:p w14:paraId="7EAB440D">
            <w:pPr>
              <w:jc w:val="center"/>
              <w:rPr>
                <w:rFonts w:ascii="宋体" w:hAnsi="宋体" w:eastAsia="宋体" w:cs="宋体"/>
                <w:color w:val="000000"/>
                <w:sz w:val="20"/>
                <w:szCs w:val="20"/>
              </w:rPr>
            </w:pPr>
          </w:p>
        </w:tc>
        <w:tc>
          <w:tcPr>
            <w:tcW w:w="825" w:type="dxa"/>
            <w:vMerge w:val="continue"/>
            <w:shd w:val="clear" w:color="auto" w:fill="FFFFFF"/>
            <w:vAlign w:val="center"/>
          </w:tcPr>
          <w:p w14:paraId="2E6194C2">
            <w:pPr>
              <w:jc w:val="center"/>
              <w:rPr>
                <w:rFonts w:ascii="宋体" w:hAnsi="宋体" w:eastAsia="宋体" w:cs="宋体"/>
                <w:color w:val="000000"/>
                <w:sz w:val="20"/>
                <w:szCs w:val="20"/>
              </w:rPr>
            </w:pPr>
          </w:p>
        </w:tc>
        <w:tc>
          <w:tcPr>
            <w:tcW w:w="672" w:type="dxa"/>
            <w:vMerge w:val="continue"/>
            <w:shd w:val="clear" w:color="auto" w:fill="FFFFFF"/>
            <w:vAlign w:val="bottom"/>
          </w:tcPr>
          <w:p w14:paraId="2A821B6B">
            <w:pPr>
              <w:jc w:val="left"/>
              <w:rPr>
                <w:rFonts w:ascii="宋体" w:hAnsi="宋体" w:eastAsia="宋体" w:cs="宋体"/>
                <w:color w:val="000000"/>
                <w:sz w:val="20"/>
                <w:szCs w:val="20"/>
              </w:rPr>
            </w:pPr>
          </w:p>
        </w:tc>
      </w:tr>
      <w:tr w14:paraId="3495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408B1E2">
            <w:pPr>
              <w:jc w:val="center"/>
              <w:rPr>
                <w:rFonts w:ascii="宋体" w:hAnsi="宋体" w:eastAsia="宋体" w:cs="宋体"/>
                <w:color w:val="000000"/>
                <w:sz w:val="20"/>
                <w:szCs w:val="20"/>
              </w:rPr>
            </w:pPr>
          </w:p>
        </w:tc>
        <w:tc>
          <w:tcPr>
            <w:tcW w:w="825" w:type="dxa"/>
            <w:vMerge w:val="continue"/>
            <w:shd w:val="clear" w:color="auto" w:fill="FFFFFF"/>
            <w:vAlign w:val="center"/>
          </w:tcPr>
          <w:p w14:paraId="1110BF36">
            <w:pPr>
              <w:jc w:val="left"/>
              <w:rPr>
                <w:rFonts w:ascii="宋体" w:hAnsi="宋体" w:eastAsia="宋体" w:cs="宋体"/>
                <w:color w:val="000000"/>
                <w:sz w:val="20"/>
                <w:szCs w:val="20"/>
              </w:rPr>
            </w:pPr>
          </w:p>
        </w:tc>
        <w:tc>
          <w:tcPr>
            <w:tcW w:w="5780" w:type="dxa"/>
            <w:shd w:val="clear" w:color="auto" w:fill="FFFFFF"/>
            <w:vAlign w:val="center"/>
          </w:tcPr>
          <w:p w14:paraId="10A88F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材质及形状:采用异形亮光钢管、异包管亮光钢管组合焊接所有焊接部位满焊而成，结构牢固，长时间使用不得产生摇晃 、松散的现象。焊接完成钢管架，焊接部位牢固，无脱焊、虚焊、焊穿；焊缝均匀，无毛棱、锐棱、飞溅、裂纹等缺陷。</w:t>
            </w:r>
          </w:p>
        </w:tc>
        <w:tc>
          <w:tcPr>
            <w:tcW w:w="712" w:type="dxa"/>
            <w:vMerge w:val="continue"/>
            <w:shd w:val="clear" w:color="auto" w:fill="FFFFFF"/>
            <w:vAlign w:val="center"/>
          </w:tcPr>
          <w:p w14:paraId="5B3D6F87">
            <w:pPr>
              <w:jc w:val="center"/>
              <w:rPr>
                <w:rFonts w:ascii="宋体" w:hAnsi="宋体" w:eastAsia="宋体" w:cs="宋体"/>
                <w:color w:val="000000"/>
                <w:sz w:val="20"/>
                <w:szCs w:val="20"/>
              </w:rPr>
            </w:pPr>
          </w:p>
        </w:tc>
        <w:tc>
          <w:tcPr>
            <w:tcW w:w="825" w:type="dxa"/>
            <w:vMerge w:val="continue"/>
            <w:shd w:val="clear" w:color="auto" w:fill="FFFFFF"/>
            <w:vAlign w:val="center"/>
          </w:tcPr>
          <w:p w14:paraId="47E58651">
            <w:pPr>
              <w:jc w:val="center"/>
              <w:rPr>
                <w:rFonts w:ascii="宋体" w:hAnsi="宋体" w:eastAsia="宋体" w:cs="宋体"/>
                <w:color w:val="000000"/>
                <w:sz w:val="20"/>
                <w:szCs w:val="20"/>
              </w:rPr>
            </w:pPr>
          </w:p>
        </w:tc>
        <w:tc>
          <w:tcPr>
            <w:tcW w:w="672" w:type="dxa"/>
            <w:vMerge w:val="continue"/>
            <w:shd w:val="clear" w:color="auto" w:fill="FFFFFF"/>
            <w:vAlign w:val="bottom"/>
          </w:tcPr>
          <w:p w14:paraId="50F88442">
            <w:pPr>
              <w:jc w:val="left"/>
              <w:rPr>
                <w:rFonts w:ascii="宋体" w:hAnsi="宋体" w:eastAsia="宋体" w:cs="宋体"/>
                <w:color w:val="000000"/>
                <w:sz w:val="20"/>
                <w:szCs w:val="20"/>
              </w:rPr>
            </w:pPr>
          </w:p>
        </w:tc>
      </w:tr>
      <w:tr w14:paraId="07F9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F6DC55B">
            <w:pPr>
              <w:jc w:val="center"/>
              <w:rPr>
                <w:rFonts w:ascii="宋体" w:hAnsi="宋体" w:eastAsia="宋体" w:cs="宋体"/>
                <w:color w:val="000000"/>
                <w:sz w:val="20"/>
                <w:szCs w:val="20"/>
              </w:rPr>
            </w:pPr>
          </w:p>
        </w:tc>
        <w:tc>
          <w:tcPr>
            <w:tcW w:w="825" w:type="dxa"/>
            <w:vMerge w:val="continue"/>
            <w:shd w:val="clear" w:color="auto" w:fill="FFFFFF"/>
            <w:vAlign w:val="center"/>
          </w:tcPr>
          <w:p w14:paraId="510C7FFB">
            <w:pPr>
              <w:jc w:val="left"/>
              <w:rPr>
                <w:rFonts w:ascii="宋体" w:hAnsi="宋体" w:eastAsia="宋体" w:cs="宋体"/>
                <w:color w:val="000000"/>
                <w:sz w:val="20"/>
                <w:szCs w:val="20"/>
              </w:rPr>
            </w:pPr>
          </w:p>
        </w:tc>
        <w:tc>
          <w:tcPr>
            <w:tcW w:w="5780" w:type="dxa"/>
            <w:shd w:val="clear" w:color="auto" w:fill="FFFFFF"/>
            <w:vAlign w:val="center"/>
          </w:tcPr>
          <w:p w14:paraId="32C2DFD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尺寸：桌脚钢架贴地脚管采用30mm±1mm×60mm±1mm×厚1.</w:t>
            </w:r>
            <w:r>
              <w:rPr>
                <w:rFonts w:hint="eastAsia" w:ascii="宋体" w:hAnsi="宋体" w:eastAsia="宋体" w:cs="宋体"/>
                <w:sz w:val="21"/>
                <w:szCs w:val="21"/>
                <w:lang w:val="en-US" w:eastAsia="zh-CN"/>
              </w:rPr>
              <w:t>5</w:t>
            </w:r>
            <w:r>
              <w:rPr>
                <w:rFonts w:hint="eastAsia" w:ascii="宋体" w:hAnsi="宋体" w:eastAsia="宋体" w:cs="宋体"/>
                <w:sz w:val="21"/>
                <w:szCs w:val="21"/>
              </w:rPr>
              <w:t>mm的椭圆形白皮钢管；桌脚上部支撑固定立管采用30mm±1mm×60mm±1mm×厚1.</w:t>
            </w:r>
            <w:r>
              <w:rPr>
                <w:rFonts w:hint="eastAsia" w:ascii="宋体" w:hAnsi="宋体" w:eastAsia="宋体" w:cs="宋体"/>
                <w:sz w:val="21"/>
                <w:szCs w:val="21"/>
                <w:lang w:val="en-US" w:eastAsia="zh-CN"/>
              </w:rPr>
              <w:t>5</w:t>
            </w:r>
            <w:r>
              <w:rPr>
                <w:rFonts w:hint="eastAsia" w:ascii="宋体" w:hAnsi="宋体" w:eastAsia="宋体" w:cs="宋体"/>
                <w:sz w:val="21"/>
                <w:szCs w:val="21"/>
              </w:rPr>
              <w:t>mm的椭圆形白皮钢管；桌脚上部活动内管采用23mm±1mm×50mm±1mm×厚1.</w:t>
            </w:r>
            <w:r>
              <w:rPr>
                <w:rFonts w:hint="eastAsia" w:ascii="宋体" w:hAnsi="宋体" w:eastAsia="宋体" w:cs="宋体"/>
                <w:sz w:val="21"/>
                <w:szCs w:val="21"/>
                <w:lang w:val="en-US" w:eastAsia="zh-CN"/>
              </w:rPr>
              <w:t>5</w:t>
            </w:r>
            <w:r>
              <w:rPr>
                <w:rFonts w:hint="eastAsia" w:ascii="宋体" w:hAnsi="宋体" w:eastAsia="宋体" w:cs="宋体"/>
                <w:sz w:val="21"/>
                <w:szCs w:val="21"/>
              </w:rPr>
              <w:t>mm的椭圆形白皮钢管；连接书箱P型支架管采用20mm±1mm×40mm±1mm×厚1.2mm的椭圆形白皮钢管，桌腿中间连接横档管采用20mm±1mm×40mm±1mm×厚1.2mm的椭圆形白皮钢管，该横档管到桌面内沿间距</w:t>
            </w:r>
            <w:r>
              <w:rPr>
                <w:rFonts w:hint="eastAsia" w:ascii="宋体" w:hAnsi="宋体" w:eastAsia="宋体" w:cs="宋体"/>
                <w:sz w:val="21"/>
                <w:szCs w:val="21"/>
                <w:lang w:val="en-US" w:eastAsia="zh-CN"/>
              </w:rPr>
              <w:t>须</w:t>
            </w:r>
            <w:r>
              <w:rPr>
                <w:rFonts w:hint="eastAsia" w:ascii="宋体" w:hAnsi="宋体" w:eastAsia="宋体" w:cs="宋体"/>
                <w:sz w:val="21"/>
                <w:szCs w:val="21"/>
              </w:rPr>
              <w:t>符合GB/T 3976-2014关于桌下净空深的要求。</w:t>
            </w:r>
          </w:p>
        </w:tc>
        <w:tc>
          <w:tcPr>
            <w:tcW w:w="712" w:type="dxa"/>
            <w:vMerge w:val="continue"/>
            <w:shd w:val="clear" w:color="auto" w:fill="FFFFFF"/>
            <w:vAlign w:val="center"/>
          </w:tcPr>
          <w:p w14:paraId="482E76B6">
            <w:pPr>
              <w:jc w:val="center"/>
              <w:rPr>
                <w:rFonts w:ascii="宋体" w:hAnsi="宋体" w:eastAsia="宋体" w:cs="宋体"/>
                <w:color w:val="000000"/>
                <w:sz w:val="20"/>
                <w:szCs w:val="20"/>
              </w:rPr>
            </w:pPr>
          </w:p>
        </w:tc>
        <w:tc>
          <w:tcPr>
            <w:tcW w:w="825" w:type="dxa"/>
            <w:vMerge w:val="continue"/>
            <w:shd w:val="clear" w:color="auto" w:fill="FFFFFF"/>
            <w:vAlign w:val="center"/>
          </w:tcPr>
          <w:p w14:paraId="558664B8">
            <w:pPr>
              <w:jc w:val="center"/>
              <w:rPr>
                <w:rFonts w:ascii="宋体" w:hAnsi="宋体" w:eastAsia="宋体" w:cs="宋体"/>
                <w:color w:val="000000"/>
                <w:sz w:val="20"/>
                <w:szCs w:val="20"/>
              </w:rPr>
            </w:pPr>
          </w:p>
        </w:tc>
        <w:tc>
          <w:tcPr>
            <w:tcW w:w="672" w:type="dxa"/>
            <w:vMerge w:val="continue"/>
            <w:shd w:val="clear" w:color="auto" w:fill="FFFFFF"/>
            <w:vAlign w:val="bottom"/>
          </w:tcPr>
          <w:p w14:paraId="7D9E2F8E">
            <w:pPr>
              <w:jc w:val="left"/>
              <w:rPr>
                <w:rFonts w:ascii="宋体" w:hAnsi="宋体" w:eastAsia="宋体" w:cs="宋体"/>
                <w:color w:val="000000"/>
                <w:sz w:val="20"/>
                <w:szCs w:val="20"/>
              </w:rPr>
            </w:pPr>
          </w:p>
        </w:tc>
      </w:tr>
      <w:tr w14:paraId="7E46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BE6C177">
            <w:pPr>
              <w:jc w:val="center"/>
              <w:rPr>
                <w:rFonts w:ascii="宋体" w:hAnsi="宋体" w:eastAsia="宋体" w:cs="宋体"/>
                <w:color w:val="000000"/>
                <w:sz w:val="20"/>
                <w:szCs w:val="20"/>
              </w:rPr>
            </w:pPr>
          </w:p>
        </w:tc>
        <w:tc>
          <w:tcPr>
            <w:tcW w:w="825" w:type="dxa"/>
            <w:vMerge w:val="continue"/>
            <w:shd w:val="clear" w:color="auto" w:fill="FFFFFF"/>
            <w:vAlign w:val="center"/>
          </w:tcPr>
          <w:p w14:paraId="3E8FF3C0">
            <w:pPr>
              <w:jc w:val="left"/>
              <w:rPr>
                <w:rFonts w:ascii="宋体" w:hAnsi="宋体" w:eastAsia="宋体" w:cs="宋体"/>
                <w:color w:val="000000"/>
                <w:sz w:val="20"/>
                <w:szCs w:val="20"/>
              </w:rPr>
            </w:pPr>
          </w:p>
        </w:tc>
        <w:tc>
          <w:tcPr>
            <w:tcW w:w="5780" w:type="dxa"/>
            <w:shd w:val="clear" w:color="auto" w:fill="FFFFFF"/>
            <w:vAlign w:val="center"/>
          </w:tcPr>
          <w:p w14:paraId="441B7B9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表面涂装：焊接完成后的钢管架，表面经除油、脱脂、磷化、皮膜处理。外表采</w:t>
            </w:r>
            <w:r>
              <w:rPr>
                <w:rFonts w:hint="eastAsia" w:ascii="宋体" w:hAnsi="宋体" w:eastAsia="宋体" w:cs="宋体"/>
                <w:sz w:val="21"/>
                <w:szCs w:val="21"/>
                <w:lang w:val="en-US" w:eastAsia="zh-CN"/>
              </w:rPr>
              <w:t>用</w:t>
            </w:r>
            <w:r>
              <w:rPr>
                <w:rFonts w:hint="eastAsia" w:ascii="宋体" w:hAnsi="宋体" w:eastAsia="宋体" w:cs="宋体"/>
                <w:sz w:val="21"/>
                <w:szCs w:val="21"/>
              </w:rPr>
              <w:t>一级颗粒粉末，经高温粉体烤漆，不得有刮伤</w:t>
            </w:r>
            <w:r>
              <w:rPr>
                <w:rFonts w:hint="eastAsia" w:ascii="宋体" w:hAnsi="宋体" w:eastAsia="宋体" w:cs="宋体"/>
                <w:sz w:val="21"/>
                <w:szCs w:val="21"/>
                <w:lang w:val="en-US" w:eastAsia="zh-CN"/>
              </w:rPr>
              <w:t>或</w:t>
            </w:r>
            <w:r>
              <w:rPr>
                <w:rFonts w:hint="eastAsia" w:ascii="宋体" w:hAnsi="宋体" w:eastAsia="宋体" w:cs="宋体"/>
                <w:sz w:val="21"/>
                <w:szCs w:val="21"/>
              </w:rPr>
              <w:t>脱漆现象。涂层无漏喷、锈蚀；涂层光滑均匀，色泽一致。涂层平整光滑、清晰。</w:t>
            </w:r>
          </w:p>
        </w:tc>
        <w:tc>
          <w:tcPr>
            <w:tcW w:w="712" w:type="dxa"/>
            <w:vMerge w:val="continue"/>
            <w:shd w:val="clear" w:color="auto" w:fill="FFFFFF"/>
            <w:vAlign w:val="center"/>
          </w:tcPr>
          <w:p w14:paraId="4B7B557C">
            <w:pPr>
              <w:jc w:val="center"/>
              <w:rPr>
                <w:rFonts w:ascii="宋体" w:hAnsi="宋体" w:eastAsia="宋体" w:cs="宋体"/>
                <w:color w:val="000000"/>
                <w:sz w:val="20"/>
                <w:szCs w:val="20"/>
              </w:rPr>
            </w:pPr>
          </w:p>
        </w:tc>
        <w:tc>
          <w:tcPr>
            <w:tcW w:w="825" w:type="dxa"/>
            <w:vMerge w:val="continue"/>
            <w:shd w:val="clear" w:color="auto" w:fill="FFFFFF"/>
            <w:vAlign w:val="center"/>
          </w:tcPr>
          <w:p w14:paraId="43225116">
            <w:pPr>
              <w:jc w:val="center"/>
              <w:rPr>
                <w:rFonts w:ascii="宋体" w:hAnsi="宋体" w:eastAsia="宋体" w:cs="宋体"/>
                <w:color w:val="000000"/>
                <w:sz w:val="20"/>
                <w:szCs w:val="20"/>
              </w:rPr>
            </w:pPr>
          </w:p>
        </w:tc>
        <w:tc>
          <w:tcPr>
            <w:tcW w:w="672" w:type="dxa"/>
            <w:vMerge w:val="continue"/>
            <w:shd w:val="clear" w:color="auto" w:fill="FFFFFF"/>
            <w:vAlign w:val="bottom"/>
          </w:tcPr>
          <w:p w14:paraId="7CFC96C2">
            <w:pPr>
              <w:jc w:val="left"/>
              <w:rPr>
                <w:rFonts w:ascii="宋体" w:hAnsi="宋体" w:eastAsia="宋体" w:cs="宋体"/>
                <w:color w:val="000000"/>
                <w:sz w:val="20"/>
                <w:szCs w:val="20"/>
              </w:rPr>
            </w:pPr>
          </w:p>
        </w:tc>
      </w:tr>
      <w:tr w14:paraId="588F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Merge w:val="continue"/>
            <w:shd w:val="clear" w:color="auto" w:fill="auto"/>
            <w:vAlign w:val="center"/>
          </w:tcPr>
          <w:p w14:paraId="37E39BE7">
            <w:pPr>
              <w:jc w:val="center"/>
              <w:rPr>
                <w:rFonts w:ascii="宋体" w:hAnsi="宋体" w:eastAsia="宋体" w:cs="宋体"/>
                <w:color w:val="000000"/>
                <w:sz w:val="20"/>
                <w:szCs w:val="20"/>
              </w:rPr>
            </w:pPr>
          </w:p>
        </w:tc>
        <w:tc>
          <w:tcPr>
            <w:tcW w:w="825" w:type="dxa"/>
            <w:vMerge w:val="continue"/>
            <w:shd w:val="clear" w:color="auto" w:fill="FFFFFF"/>
            <w:vAlign w:val="center"/>
          </w:tcPr>
          <w:p w14:paraId="237DBF33">
            <w:pPr>
              <w:jc w:val="left"/>
              <w:rPr>
                <w:rFonts w:ascii="宋体" w:hAnsi="宋体" w:eastAsia="宋体" w:cs="宋体"/>
                <w:color w:val="000000"/>
                <w:sz w:val="20"/>
                <w:szCs w:val="20"/>
              </w:rPr>
            </w:pPr>
          </w:p>
        </w:tc>
        <w:tc>
          <w:tcPr>
            <w:tcW w:w="5780" w:type="dxa"/>
            <w:shd w:val="clear" w:color="auto" w:fill="FFFFFF"/>
            <w:vAlign w:val="center"/>
          </w:tcPr>
          <w:p w14:paraId="15758EC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lang w:val="en-US" w:eastAsia="zh-CN"/>
              </w:rPr>
              <w:t>底坐P字型弯管左右组合焊接外型。</w:t>
            </w:r>
          </w:p>
        </w:tc>
        <w:tc>
          <w:tcPr>
            <w:tcW w:w="712" w:type="dxa"/>
            <w:vMerge w:val="continue"/>
            <w:shd w:val="clear" w:color="auto" w:fill="FFFFFF"/>
            <w:vAlign w:val="center"/>
          </w:tcPr>
          <w:p w14:paraId="50B1D907">
            <w:pPr>
              <w:jc w:val="center"/>
              <w:rPr>
                <w:rFonts w:ascii="宋体" w:hAnsi="宋体" w:eastAsia="宋体" w:cs="宋体"/>
                <w:color w:val="000000"/>
                <w:sz w:val="20"/>
                <w:szCs w:val="20"/>
              </w:rPr>
            </w:pPr>
          </w:p>
        </w:tc>
        <w:tc>
          <w:tcPr>
            <w:tcW w:w="825" w:type="dxa"/>
            <w:vMerge w:val="continue"/>
            <w:shd w:val="clear" w:color="auto" w:fill="FFFFFF"/>
            <w:vAlign w:val="center"/>
          </w:tcPr>
          <w:p w14:paraId="790AA77D">
            <w:pPr>
              <w:jc w:val="center"/>
              <w:rPr>
                <w:rFonts w:ascii="宋体" w:hAnsi="宋体" w:eastAsia="宋体" w:cs="宋体"/>
                <w:color w:val="000000"/>
                <w:sz w:val="20"/>
                <w:szCs w:val="20"/>
              </w:rPr>
            </w:pPr>
          </w:p>
        </w:tc>
        <w:tc>
          <w:tcPr>
            <w:tcW w:w="672" w:type="dxa"/>
            <w:vMerge w:val="continue"/>
            <w:shd w:val="clear" w:color="auto" w:fill="FFFFFF"/>
            <w:vAlign w:val="bottom"/>
          </w:tcPr>
          <w:p w14:paraId="45AE392F">
            <w:pPr>
              <w:jc w:val="left"/>
              <w:rPr>
                <w:rFonts w:ascii="宋体" w:hAnsi="宋体" w:eastAsia="宋体" w:cs="宋体"/>
                <w:color w:val="000000"/>
                <w:sz w:val="20"/>
                <w:szCs w:val="20"/>
              </w:rPr>
            </w:pPr>
          </w:p>
        </w:tc>
      </w:tr>
      <w:tr w14:paraId="330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36D54481">
            <w:pPr>
              <w:jc w:val="center"/>
              <w:rPr>
                <w:rFonts w:ascii="宋体" w:hAnsi="宋体" w:eastAsia="宋体" w:cs="宋体"/>
                <w:color w:val="000000"/>
                <w:sz w:val="20"/>
                <w:szCs w:val="20"/>
              </w:rPr>
            </w:pPr>
          </w:p>
        </w:tc>
        <w:tc>
          <w:tcPr>
            <w:tcW w:w="825" w:type="dxa"/>
            <w:vMerge w:val="continue"/>
            <w:shd w:val="clear" w:color="auto" w:fill="FFFFFF"/>
            <w:vAlign w:val="center"/>
          </w:tcPr>
          <w:p w14:paraId="0B9A481C">
            <w:pPr>
              <w:jc w:val="left"/>
              <w:rPr>
                <w:rFonts w:ascii="宋体" w:hAnsi="宋体" w:eastAsia="宋体" w:cs="宋体"/>
                <w:color w:val="000000"/>
                <w:sz w:val="20"/>
                <w:szCs w:val="20"/>
              </w:rPr>
            </w:pPr>
          </w:p>
        </w:tc>
        <w:tc>
          <w:tcPr>
            <w:tcW w:w="5780" w:type="dxa"/>
            <w:shd w:val="clear" w:color="auto" w:fill="FFFFFF"/>
            <w:vAlign w:val="center"/>
          </w:tcPr>
          <w:p w14:paraId="58D38E3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产品符合QB/T 4071-2021 标准,无断裂或豁裂, 手揿圧各部件无永久性松动, 零部件无严重影响使用功能的磨损或变形, 五金连接件不松动, 活动部件开关灵便。</w:t>
            </w:r>
          </w:p>
        </w:tc>
        <w:tc>
          <w:tcPr>
            <w:tcW w:w="712" w:type="dxa"/>
            <w:vMerge w:val="continue"/>
            <w:shd w:val="clear" w:color="auto" w:fill="FFFFFF"/>
            <w:vAlign w:val="center"/>
          </w:tcPr>
          <w:p w14:paraId="61AB327C">
            <w:pPr>
              <w:jc w:val="center"/>
              <w:rPr>
                <w:rFonts w:ascii="宋体" w:hAnsi="宋体" w:eastAsia="宋体" w:cs="宋体"/>
                <w:color w:val="000000"/>
                <w:sz w:val="20"/>
                <w:szCs w:val="20"/>
              </w:rPr>
            </w:pPr>
          </w:p>
        </w:tc>
        <w:tc>
          <w:tcPr>
            <w:tcW w:w="825" w:type="dxa"/>
            <w:vMerge w:val="continue"/>
            <w:shd w:val="clear" w:color="auto" w:fill="FFFFFF"/>
            <w:vAlign w:val="center"/>
          </w:tcPr>
          <w:p w14:paraId="294CBA45">
            <w:pPr>
              <w:jc w:val="center"/>
              <w:rPr>
                <w:rFonts w:ascii="宋体" w:hAnsi="宋体" w:eastAsia="宋体" w:cs="宋体"/>
                <w:color w:val="000000"/>
                <w:sz w:val="20"/>
                <w:szCs w:val="20"/>
              </w:rPr>
            </w:pPr>
          </w:p>
        </w:tc>
        <w:tc>
          <w:tcPr>
            <w:tcW w:w="672" w:type="dxa"/>
            <w:vMerge w:val="continue"/>
            <w:shd w:val="clear" w:color="auto" w:fill="FFFFFF"/>
            <w:vAlign w:val="bottom"/>
          </w:tcPr>
          <w:p w14:paraId="687B2899">
            <w:pPr>
              <w:jc w:val="left"/>
              <w:rPr>
                <w:rFonts w:ascii="宋体" w:hAnsi="宋体" w:eastAsia="宋体" w:cs="宋体"/>
                <w:color w:val="000000"/>
                <w:sz w:val="20"/>
                <w:szCs w:val="20"/>
              </w:rPr>
            </w:pPr>
          </w:p>
        </w:tc>
      </w:tr>
      <w:tr w14:paraId="6C94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77F8EA71">
            <w:pPr>
              <w:jc w:val="center"/>
              <w:rPr>
                <w:rFonts w:ascii="宋体" w:hAnsi="宋体" w:eastAsia="宋体" w:cs="宋体"/>
                <w:color w:val="000000"/>
                <w:sz w:val="20"/>
                <w:szCs w:val="20"/>
              </w:rPr>
            </w:pPr>
          </w:p>
        </w:tc>
        <w:tc>
          <w:tcPr>
            <w:tcW w:w="825" w:type="dxa"/>
            <w:vMerge w:val="continue"/>
            <w:shd w:val="clear" w:color="auto" w:fill="FFFFFF"/>
            <w:vAlign w:val="center"/>
          </w:tcPr>
          <w:p w14:paraId="3A393E43">
            <w:pPr>
              <w:jc w:val="left"/>
              <w:rPr>
                <w:rFonts w:ascii="宋体" w:hAnsi="宋体" w:eastAsia="宋体" w:cs="宋体"/>
                <w:color w:val="000000"/>
                <w:sz w:val="20"/>
                <w:szCs w:val="20"/>
              </w:rPr>
            </w:pPr>
          </w:p>
        </w:tc>
        <w:tc>
          <w:tcPr>
            <w:tcW w:w="5780" w:type="dxa"/>
            <w:shd w:val="clear" w:color="auto" w:fill="FFFFFF"/>
            <w:vAlign w:val="center"/>
          </w:tcPr>
          <w:p w14:paraId="3284DE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rPr>
            </w:pPr>
            <w:r>
              <w:rPr>
                <w:rFonts w:hint="eastAsia" w:ascii="宋体" w:hAnsi="宋体" w:eastAsia="宋体" w:cs="宋体"/>
                <w:b/>
                <w:bCs/>
                <w:sz w:val="21"/>
                <w:szCs w:val="21"/>
              </w:rPr>
              <w:t>D.课桌椅标识：</w:t>
            </w:r>
          </w:p>
        </w:tc>
        <w:tc>
          <w:tcPr>
            <w:tcW w:w="712" w:type="dxa"/>
            <w:vMerge w:val="continue"/>
            <w:shd w:val="clear" w:color="auto" w:fill="FFFFFF"/>
            <w:vAlign w:val="center"/>
          </w:tcPr>
          <w:p w14:paraId="62B066D9">
            <w:pPr>
              <w:jc w:val="center"/>
              <w:rPr>
                <w:rFonts w:ascii="宋体" w:hAnsi="宋体" w:eastAsia="宋体" w:cs="宋体"/>
                <w:color w:val="000000"/>
                <w:sz w:val="20"/>
                <w:szCs w:val="20"/>
              </w:rPr>
            </w:pPr>
          </w:p>
        </w:tc>
        <w:tc>
          <w:tcPr>
            <w:tcW w:w="825" w:type="dxa"/>
            <w:vMerge w:val="continue"/>
            <w:shd w:val="clear" w:color="auto" w:fill="FFFFFF"/>
            <w:vAlign w:val="center"/>
          </w:tcPr>
          <w:p w14:paraId="66D7DC82">
            <w:pPr>
              <w:jc w:val="center"/>
              <w:rPr>
                <w:rFonts w:ascii="宋体" w:hAnsi="宋体" w:eastAsia="宋体" w:cs="宋体"/>
                <w:color w:val="000000"/>
                <w:sz w:val="20"/>
                <w:szCs w:val="20"/>
              </w:rPr>
            </w:pPr>
          </w:p>
        </w:tc>
        <w:tc>
          <w:tcPr>
            <w:tcW w:w="672" w:type="dxa"/>
            <w:vMerge w:val="continue"/>
            <w:shd w:val="clear" w:color="auto" w:fill="FFFFFF"/>
            <w:vAlign w:val="bottom"/>
          </w:tcPr>
          <w:p w14:paraId="036D57F4">
            <w:pPr>
              <w:jc w:val="left"/>
              <w:rPr>
                <w:rFonts w:ascii="宋体" w:hAnsi="宋体" w:eastAsia="宋体" w:cs="宋体"/>
                <w:color w:val="000000"/>
                <w:sz w:val="20"/>
                <w:szCs w:val="20"/>
              </w:rPr>
            </w:pPr>
          </w:p>
        </w:tc>
      </w:tr>
      <w:tr w14:paraId="782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9BA90BF">
            <w:pPr>
              <w:jc w:val="center"/>
              <w:rPr>
                <w:rFonts w:ascii="宋体" w:hAnsi="宋体" w:eastAsia="宋体" w:cs="宋体"/>
                <w:color w:val="000000"/>
                <w:sz w:val="20"/>
                <w:szCs w:val="20"/>
              </w:rPr>
            </w:pPr>
          </w:p>
        </w:tc>
        <w:tc>
          <w:tcPr>
            <w:tcW w:w="825" w:type="dxa"/>
            <w:vMerge w:val="continue"/>
            <w:shd w:val="clear" w:color="auto" w:fill="FFFFFF"/>
            <w:vAlign w:val="center"/>
          </w:tcPr>
          <w:p w14:paraId="2DD6AFCD">
            <w:pPr>
              <w:jc w:val="left"/>
              <w:rPr>
                <w:rFonts w:ascii="宋体" w:hAnsi="宋体" w:eastAsia="宋体" w:cs="宋体"/>
                <w:color w:val="000000"/>
                <w:sz w:val="20"/>
                <w:szCs w:val="20"/>
              </w:rPr>
            </w:pPr>
          </w:p>
        </w:tc>
        <w:tc>
          <w:tcPr>
            <w:tcW w:w="5780" w:type="dxa"/>
            <w:shd w:val="clear" w:color="auto" w:fill="FFFFFF"/>
            <w:vAlign w:val="center"/>
          </w:tcPr>
          <w:p w14:paraId="0928C81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采用激光镭射标示，字体保证永久不会脱落掉色，方便学校管理使用及产品维护。在可调节的钢制脚架上外侧清晰标记，高度刻度尺按照GB/T3976-2014《学校课桌椅功能尺寸及技术要求》</w:t>
            </w:r>
            <w:r>
              <w:rPr>
                <w:rFonts w:hint="eastAsia" w:ascii="宋体" w:hAnsi="宋体" w:eastAsia="宋体" w:cs="宋体"/>
                <w:sz w:val="21"/>
                <w:szCs w:val="21"/>
                <w:lang w:eastAsia="zh-CN"/>
              </w:rPr>
              <w:t>。</w:t>
            </w:r>
            <w:r>
              <w:rPr>
                <w:rFonts w:hint="eastAsia" w:ascii="宋体" w:hAnsi="宋体" w:eastAsia="宋体" w:cs="宋体"/>
                <w:sz w:val="21"/>
                <w:szCs w:val="21"/>
              </w:rPr>
              <w:t>用阿拉伯数字作标示。</w:t>
            </w:r>
          </w:p>
        </w:tc>
        <w:tc>
          <w:tcPr>
            <w:tcW w:w="712" w:type="dxa"/>
            <w:vMerge w:val="continue"/>
            <w:shd w:val="clear" w:color="auto" w:fill="FFFFFF"/>
            <w:vAlign w:val="center"/>
          </w:tcPr>
          <w:p w14:paraId="0DC5B5BA">
            <w:pPr>
              <w:jc w:val="center"/>
              <w:rPr>
                <w:rFonts w:ascii="宋体" w:hAnsi="宋体" w:eastAsia="宋体" w:cs="宋体"/>
                <w:color w:val="000000"/>
                <w:sz w:val="20"/>
                <w:szCs w:val="20"/>
              </w:rPr>
            </w:pPr>
          </w:p>
        </w:tc>
        <w:tc>
          <w:tcPr>
            <w:tcW w:w="825" w:type="dxa"/>
            <w:vMerge w:val="continue"/>
            <w:shd w:val="clear" w:color="auto" w:fill="FFFFFF"/>
            <w:vAlign w:val="center"/>
          </w:tcPr>
          <w:p w14:paraId="1CA8829D">
            <w:pPr>
              <w:jc w:val="center"/>
              <w:rPr>
                <w:rFonts w:ascii="宋体" w:hAnsi="宋体" w:eastAsia="宋体" w:cs="宋体"/>
                <w:color w:val="000000"/>
                <w:sz w:val="20"/>
                <w:szCs w:val="20"/>
              </w:rPr>
            </w:pPr>
          </w:p>
        </w:tc>
        <w:tc>
          <w:tcPr>
            <w:tcW w:w="672" w:type="dxa"/>
            <w:vMerge w:val="continue"/>
            <w:shd w:val="clear" w:color="auto" w:fill="FFFFFF"/>
            <w:vAlign w:val="bottom"/>
          </w:tcPr>
          <w:p w14:paraId="4D90CB76">
            <w:pPr>
              <w:jc w:val="left"/>
              <w:rPr>
                <w:rFonts w:ascii="宋体" w:hAnsi="宋体" w:eastAsia="宋体" w:cs="宋体"/>
                <w:color w:val="000000"/>
                <w:sz w:val="20"/>
                <w:szCs w:val="20"/>
              </w:rPr>
            </w:pPr>
          </w:p>
        </w:tc>
      </w:tr>
      <w:tr w14:paraId="6BEA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0E43C4D">
            <w:pPr>
              <w:jc w:val="center"/>
              <w:rPr>
                <w:rFonts w:ascii="宋体" w:hAnsi="宋体" w:eastAsia="宋体" w:cs="宋体"/>
                <w:color w:val="000000"/>
                <w:sz w:val="20"/>
                <w:szCs w:val="20"/>
              </w:rPr>
            </w:pPr>
          </w:p>
        </w:tc>
        <w:tc>
          <w:tcPr>
            <w:tcW w:w="825" w:type="dxa"/>
            <w:vMerge w:val="continue"/>
            <w:shd w:val="clear" w:color="auto" w:fill="FFFFFF"/>
            <w:vAlign w:val="center"/>
          </w:tcPr>
          <w:p w14:paraId="059C0EAC">
            <w:pPr>
              <w:jc w:val="left"/>
              <w:rPr>
                <w:rFonts w:ascii="宋体" w:hAnsi="宋体" w:eastAsia="宋体" w:cs="宋体"/>
                <w:color w:val="000000"/>
                <w:sz w:val="20"/>
                <w:szCs w:val="20"/>
              </w:rPr>
            </w:pPr>
          </w:p>
        </w:tc>
        <w:tc>
          <w:tcPr>
            <w:tcW w:w="5780" w:type="dxa"/>
            <w:shd w:val="clear" w:color="auto" w:fill="FFFFFF"/>
            <w:vAlign w:val="center"/>
          </w:tcPr>
          <w:p w14:paraId="6374E9B9">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在课桌桌腿上部活动立管(钢制脚架上)外侧上做如下标示：</w:t>
            </w:r>
          </w:p>
          <w:p w14:paraId="46C6BC4C">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标有统一的校名（简称）汉字或学校 LOGO，满足学校财产登记。</w:t>
            </w:r>
          </w:p>
          <w:p w14:paraId="03365905">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标有生产（出厂）年月日数字标识，保证设备保修售后。</w:t>
            </w:r>
          </w:p>
          <w:p w14:paraId="2131435C">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标有产品序列号数字标识（编码从0001开始的四位流水号），满足学校财产登记的需要。</w:t>
            </w:r>
          </w:p>
          <w:p w14:paraId="56EB3688">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84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标有高度刻度尺数字标识，满足</w:t>
            </w:r>
            <w:r>
              <w:rPr>
                <w:rFonts w:hint="eastAsia" w:ascii="宋体" w:hAnsi="宋体" w:eastAsia="宋体" w:cs="宋体"/>
                <w:sz w:val="21"/>
                <w:szCs w:val="21"/>
                <w:lang w:val="en-US" w:eastAsia="zh-CN"/>
              </w:rPr>
              <w:t>采购</w:t>
            </w:r>
            <w:r>
              <w:rPr>
                <w:rFonts w:hint="eastAsia" w:ascii="宋体" w:hAnsi="宋体" w:eastAsia="宋体" w:cs="宋体"/>
                <w:sz w:val="21"/>
                <w:szCs w:val="21"/>
              </w:rPr>
              <w:t>要求。</w:t>
            </w:r>
          </w:p>
        </w:tc>
        <w:tc>
          <w:tcPr>
            <w:tcW w:w="712" w:type="dxa"/>
            <w:vMerge w:val="continue"/>
            <w:shd w:val="clear" w:color="auto" w:fill="FFFFFF"/>
            <w:vAlign w:val="center"/>
          </w:tcPr>
          <w:p w14:paraId="12A5F140">
            <w:pPr>
              <w:jc w:val="center"/>
              <w:rPr>
                <w:rFonts w:ascii="宋体" w:hAnsi="宋体" w:eastAsia="宋体" w:cs="宋体"/>
                <w:color w:val="000000"/>
                <w:sz w:val="20"/>
                <w:szCs w:val="20"/>
              </w:rPr>
            </w:pPr>
          </w:p>
        </w:tc>
        <w:tc>
          <w:tcPr>
            <w:tcW w:w="825" w:type="dxa"/>
            <w:vMerge w:val="continue"/>
            <w:shd w:val="clear" w:color="auto" w:fill="FFFFFF"/>
            <w:vAlign w:val="center"/>
          </w:tcPr>
          <w:p w14:paraId="7FD3ADB1">
            <w:pPr>
              <w:jc w:val="center"/>
              <w:rPr>
                <w:rFonts w:ascii="宋体" w:hAnsi="宋体" w:eastAsia="宋体" w:cs="宋体"/>
                <w:color w:val="000000"/>
                <w:sz w:val="20"/>
                <w:szCs w:val="20"/>
              </w:rPr>
            </w:pPr>
          </w:p>
        </w:tc>
        <w:tc>
          <w:tcPr>
            <w:tcW w:w="672" w:type="dxa"/>
            <w:vMerge w:val="continue"/>
            <w:shd w:val="clear" w:color="auto" w:fill="FFFFFF"/>
            <w:vAlign w:val="bottom"/>
          </w:tcPr>
          <w:p w14:paraId="51EA5EC5">
            <w:pPr>
              <w:jc w:val="left"/>
              <w:rPr>
                <w:rFonts w:ascii="宋体" w:hAnsi="宋体" w:eastAsia="宋体" w:cs="宋体"/>
                <w:color w:val="000000"/>
                <w:sz w:val="20"/>
                <w:szCs w:val="20"/>
              </w:rPr>
            </w:pPr>
          </w:p>
        </w:tc>
      </w:tr>
      <w:tr w14:paraId="0A03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EA59F2E">
            <w:pPr>
              <w:jc w:val="center"/>
              <w:rPr>
                <w:rFonts w:ascii="宋体" w:hAnsi="宋体" w:eastAsia="宋体" w:cs="宋体"/>
                <w:color w:val="000000"/>
                <w:sz w:val="20"/>
                <w:szCs w:val="20"/>
              </w:rPr>
            </w:pPr>
          </w:p>
        </w:tc>
        <w:tc>
          <w:tcPr>
            <w:tcW w:w="825" w:type="dxa"/>
            <w:vMerge w:val="continue"/>
            <w:shd w:val="clear" w:color="auto" w:fill="FFFFFF"/>
            <w:vAlign w:val="center"/>
          </w:tcPr>
          <w:p w14:paraId="78F1D883">
            <w:pPr>
              <w:jc w:val="left"/>
              <w:rPr>
                <w:rFonts w:ascii="宋体" w:hAnsi="宋体" w:eastAsia="宋体" w:cs="宋体"/>
                <w:color w:val="000000"/>
                <w:sz w:val="20"/>
                <w:szCs w:val="20"/>
              </w:rPr>
            </w:pPr>
          </w:p>
        </w:tc>
        <w:tc>
          <w:tcPr>
            <w:tcW w:w="5780" w:type="dxa"/>
            <w:shd w:val="clear" w:color="auto" w:fill="FFFFFF"/>
            <w:vAlign w:val="center"/>
          </w:tcPr>
          <w:p w14:paraId="69CD0B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rPr>
            </w:pPr>
            <w:r>
              <w:rPr>
                <w:rFonts w:hint="eastAsia" w:ascii="宋体" w:hAnsi="宋体" w:eastAsia="宋体" w:cs="宋体"/>
                <w:b/>
                <w:bCs/>
                <w:sz w:val="21"/>
                <w:szCs w:val="21"/>
              </w:rPr>
              <w:t>E.脚垫</w:t>
            </w:r>
          </w:p>
        </w:tc>
        <w:tc>
          <w:tcPr>
            <w:tcW w:w="712" w:type="dxa"/>
            <w:vMerge w:val="continue"/>
            <w:shd w:val="clear" w:color="auto" w:fill="FFFFFF"/>
            <w:vAlign w:val="center"/>
          </w:tcPr>
          <w:p w14:paraId="2CEB55C8">
            <w:pPr>
              <w:jc w:val="center"/>
              <w:rPr>
                <w:rFonts w:ascii="宋体" w:hAnsi="宋体" w:eastAsia="宋体" w:cs="宋体"/>
                <w:color w:val="000000"/>
                <w:sz w:val="20"/>
                <w:szCs w:val="20"/>
              </w:rPr>
            </w:pPr>
          </w:p>
        </w:tc>
        <w:tc>
          <w:tcPr>
            <w:tcW w:w="825" w:type="dxa"/>
            <w:vMerge w:val="continue"/>
            <w:shd w:val="clear" w:color="auto" w:fill="FFFFFF"/>
            <w:vAlign w:val="center"/>
          </w:tcPr>
          <w:p w14:paraId="6165277A">
            <w:pPr>
              <w:jc w:val="center"/>
              <w:rPr>
                <w:rFonts w:ascii="宋体" w:hAnsi="宋体" w:eastAsia="宋体" w:cs="宋体"/>
                <w:color w:val="000000"/>
                <w:sz w:val="20"/>
                <w:szCs w:val="20"/>
              </w:rPr>
            </w:pPr>
          </w:p>
        </w:tc>
        <w:tc>
          <w:tcPr>
            <w:tcW w:w="672" w:type="dxa"/>
            <w:vMerge w:val="continue"/>
            <w:shd w:val="clear" w:color="auto" w:fill="FFFFFF"/>
            <w:vAlign w:val="bottom"/>
          </w:tcPr>
          <w:p w14:paraId="7066BD2F">
            <w:pPr>
              <w:jc w:val="left"/>
              <w:rPr>
                <w:rFonts w:ascii="宋体" w:hAnsi="宋体" w:eastAsia="宋体" w:cs="宋体"/>
                <w:color w:val="000000"/>
                <w:sz w:val="20"/>
                <w:szCs w:val="20"/>
              </w:rPr>
            </w:pPr>
          </w:p>
        </w:tc>
      </w:tr>
      <w:tr w14:paraId="1378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3ED75E2">
            <w:pPr>
              <w:jc w:val="center"/>
              <w:rPr>
                <w:rFonts w:ascii="宋体" w:hAnsi="宋体" w:eastAsia="宋体" w:cs="宋体"/>
                <w:color w:val="000000"/>
                <w:sz w:val="20"/>
                <w:szCs w:val="20"/>
              </w:rPr>
            </w:pPr>
          </w:p>
        </w:tc>
        <w:tc>
          <w:tcPr>
            <w:tcW w:w="825" w:type="dxa"/>
            <w:vMerge w:val="continue"/>
            <w:shd w:val="clear" w:color="auto" w:fill="FFFFFF"/>
            <w:vAlign w:val="center"/>
          </w:tcPr>
          <w:p w14:paraId="1B640A17">
            <w:pPr>
              <w:jc w:val="left"/>
              <w:rPr>
                <w:rFonts w:ascii="宋体" w:hAnsi="宋体" w:eastAsia="宋体" w:cs="宋体"/>
                <w:color w:val="000000"/>
                <w:sz w:val="20"/>
                <w:szCs w:val="20"/>
              </w:rPr>
            </w:pPr>
          </w:p>
        </w:tc>
        <w:tc>
          <w:tcPr>
            <w:tcW w:w="5780" w:type="dxa"/>
            <w:shd w:val="clear" w:color="auto" w:fill="FFFFFF"/>
            <w:vAlign w:val="center"/>
          </w:tcPr>
          <w:p w14:paraId="763234D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 xml:space="preserve">材质：PP塑料（塑胶） ，结实耐用不易脱落。 </w:t>
            </w:r>
          </w:p>
        </w:tc>
        <w:tc>
          <w:tcPr>
            <w:tcW w:w="712" w:type="dxa"/>
            <w:vMerge w:val="continue"/>
            <w:shd w:val="clear" w:color="auto" w:fill="FFFFFF"/>
            <w:vAlign w:val="center"/>
          </w:tcPr>
          <w:p w14:paraId="2F23CC4B">
            <w:pPr>
              <w:jc w:val="center"/>
              <w:rPr>
                <w:rFonts w:ascii="宋体" w:hAnsi="宋体" w:eastAsia="宋体" w:cs="宋体"/>
                <w:color w:val="000000"/>
                <w:sz w:val="20"/>
                <w:szCs w:val="20"/>
              </w:rPr>
            </w:pPr>
          </w:p>
        </w:tc>
        <w:tc>
          <w:tcPr>
            <w:tcW w:w="825" w:type="dxa"/>
            <w:vMerge w:val="continue"/>
            <w:shd w:val="clear" w:color="auto" w:fill="FFFFFF"/>
            <w:vAlign w:val="center"/>
          </w:tcPr>
          <w:p w14:paraId="28A79C8B">
            <w:pPr>
              <w:jc w:val="center"/>
              <w:rPr>
                <w:rFonts w:ascii="宋体" w:hAnsi="宋体" w:eastAsia="宋体" w:cs="宋体"/>
                <w:color w:val="000000"/>
                <w:sz w:val="20"/>
                <w:szCs w:val="20"/>
              </w:rPr>
            </w:pPr>
          </w:p>
        </w:tc>
        <w:tc>
          <w:tcPr>
            <w:tcW w:w="672" w:type="dxa"/>
            <w:vMerge w:val="continue"/>
            <w:shd w:val="clear" w:color="auto" w:fill="FFFFFF"/>
            <w:vAlign w:val="bottom"/>
          </w:tcPr>
          <w:p w14:paraId="108B6746">
            <w:pPr>
              <w:jc w:val="left"/>
              <w:rPr>
                <w:rFonts w:ascii="宋体" w:hAnsi="宋体" w:eastAsia="宋体" w:cs="宋体"/>
                <w:color w:val="000000"/>
                <w:sz w:val="20"/>
                <w:szCs w:val="20"/>
              </w:rPr>
            </w:pPr>
          </w:p>
        </w:tc>
      </w:tr>
      <w:tr w14:paraId="7299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FA4C2D0">
            <w:pPr>
              <w:jc w:val="center"/>
              <w:rPr>
                <w:rFonts w:ascii="宋体" w:hAnsi="宋体" w:eastAsia="宋体" w:cs="宋体"/>
                <w:color w:val="000000"/>
                <w:sz w:val="20"/>
                <w:szCs w:val="20"/>
              </w:rPr>
            </w:pPr>
          </w:p>
        </w:tc>
        <w:tc>
          <w:tcPr>
            <w:tcW w:w="825" w:type="dxa"/>
            <w:vMerge w:val="continue"/>
            <w:shd w:val="clear" w:color="auto" w:fill="FFFFFF"/>
            <w:vAlign w:val="center"/>
          </w:tcPr>
          <w:p w14:paraId="39861354">
            <w:pPr>
              <w:jc w:val="left"/>
              <w:rPr>
                <w:rFonts w:ascii="宋体" w:hAnsi="宋体" w:eastAsia="宋体" w:cs="宋体"/>
                <w:color w:val="000000"/>
                <w:sz w:val="20"/>
                <w:szCs w:val="20"/>
              </w:rPr>
            </w:pPr>
          </w:p>
        </w:tc>
        <w:tc>
          <w:tcPr>
            <w:tcW w:w="5780" w:type="dxa"/>
            <w:shd w:val="clear" w:color="auto" w:fill="FFFFFF"/>
            <w:vAlign w:val="center"/>
          </w:tcPr>
          <w:p w14:paraId="163EA1E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功能：课桌脚垫采用固定螺丝和地平调节螺丝独立专用的安装模式：固定螺丝用于连接贴地管与脚垫，使脚垫不易脱落。地平调节螺丝可用螺丝刀旋转任意调节水平度的功能，同时还可以防止课桌倾斜。地平调节螺丝采用耐磨塑钢胶料POM材质螺纹制造、旋转顺滑且不生锈、质量轻且承重性强、防滑防震、耐磨降噪、操作简便实用。</w:t>
            </w:r>
          </w:p>
        </w:tc>
        <w:tc>
          <w:tcPr>
            <w:tcW w:w="712" w:type="dxa"/>
            <w:vMerge w:val="continue"/>
            <w:shd w:val="clear" w:color="auto" w:fill="FFFFFF"/>
            <w:vAlign w:val="center"/>
          </w:tcPr>
          <w:p w14:paraId="6F8D4B47">
            <w:pPr>
              <w:jc w:val="center"/>
              <w:rPr>
                <w:rFonts w:ascii="宋体" w:hAnsi="宋体" w:eastAsia="宋体" w:cs="宋体"/>
                <w:color w:val="000000"/>
                <w:sz w:val="20"/>
                <w:szCs w:val="20"/>
              </w:rPr>
            </w:pPr>
          </w:p>
        </w:tc>
        <w:tc>
          <w:tcPr>
            <w:tcW w:w="825" w:type="dxa"/>
            <w:vMerge w:val="continue"/>
            <w:shd w:val="clear" w:color="auto" w:fill="FFFFFF"/>
            <w:vAlign w:val="center"/>
          </w:tcPr>
          <w:p w14:paraId="1A83DE0F">
            <w:pPr>
              <w:jc w:val="center"/>
              <w:rPr>
                <w:rFonts w:ascii="宋体" w:hAnsi="宋体" w:eastAsia="宋体" w:cs="宋体"/>
                <w:color w:val="000000"/>
                <w:sz w:val="20"/>
                <w:szCs w:val="20"/>
              </w:rPr>
            </w:pPr>
          </w:p>
        </w:tc>
        <w:tc>
          <w:tcPr>
            <w:tcW w:w="672" w:type="dxa"/>
            <w:vMerge w:val="continue"/>
            <w:shd w:val="clear" w:color="auto" w:fill="FFFFFF"/>
            <w:vAlign w:val="bottom"/>
          </w:tcPr>
          <w:p w14:paraId="2757EEFE">
            <w:pPr>
              <w:jc w:val="left"/>
              <w:rPr>
                <w:rFonts w:ascii="宋体" w:hAnsi="宋体" w:eastAsia="宋体" w:cs="宋体"/>
                <w:color w:val="000000"/>
                <w:sz w:val="20"/>
                <w:szCs w:val="20"/>
              </w:rPr>
            </w:pPr>
          </w:p>
        </w:tc>
      </w:tr>
      <w:tr w14:paraId="7EE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62FF514">
            <w:pPr>
              <w:jc w:val="center"/>
              <w:rPr>
                <w:rFonts w:ascii="宋体" w:hAnsi="宋体" w:eastAsia="宋体" w:cs="宋体"/>
                <w:color w:val="000000"/>
                <w:sz w:val="20"/>
                <w:szCs w:val="20"/>
              </w:rPr>
            </w:pPr>
          </w:p>
        </w:tc>
        <w:tc>
          <w:tcPr>
            <w:tcW w:w="825" w:type="dxa"/>
            <w:vMerge w:val="continue"/>
            <w:shd w:val="clear" w:color="auto" w:fill="FFFFFF"/>
            <w:vAlign w:val="center"/>
          </w:tcPr>
          <w:p w14:paraId="66CA0C25">
            <w:pPr>
              <w:jc w:val="left"/>
              <w:rPr>
                <w:rFonts w:ascii="宋体" w:hAnsi="宋体" w:eastAsia="宋体" w:cs="宋体"/>
                <w:color w:val="000000"/>
                <w:sz w:val="20"/>
                <w:szCs w:val="20"/>
              </w:rPr>
            </w:pPr>
          </w:p>
        </w:tc>
        <w:tc>
          <w:tcPr>
            <w:tcW w:w="5780" w:type="dxa"/>
            <w:shd w:val="clear" w:color="auto" w:fill="FFFFFF"/>
            <w:vAlign w:val="center"/>
          </w:tcPr>
          <w:p w14:paraId="0D950F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rPr>
            </w:pPr>
            <w:r>
              <w:rPr>
                <w:rFonts w:hint="eastAsia" w:ascii="宋体" w:hAnsi="宋体" w:eastAsia="宋体" w:cs="宋体"/>
                <w:b/>
                <w:bCs/>
                <w:sz w:val="21"/>
                <w:szCs w:val="21"/>
              </w:rPr>
              <w:t>F.挂钩</w:t>
            </w:r>
          </w:p>
        </w:tc>
        <w:tc>
          <w:tcPr>
            <w:tcW w:w="712" w:type="dxa"/>
            <w:vMerge w:val="continue"/>
            <w:shd w:val="clear" w:color="auto" w:fill="FFFFFF"/>
            <w:vAlign w:val="center"/>
          </w:tcPr>
          <w:p w14:paraId="4DE2C271">
            <w:pPr>
              <w:jc w:val="center"/>
              <w:rPr>
                <w:rFonts w:ascii="宋体" w:hAnsi="宋体" w:eastAsia="宋体" w:cs="宋体"/>
                <w:color w:val="000000"/>
                <w:sz w:val="20"/>
                <w:szCs w:val="20"/>
              </w:rPr>
            </w:pPr>
          </w:p>
        </w:tc>
        <w:tc>
          <w:tcPr>
            <w:tcW w:w="825" w:type="dxa"/>
            <w:vMerge w:val="continue"/>
            <w:shd w:val="clear" w:color="auto" w:fill="FFFFFF"/>
            <w:vAlign w:val="center"/>
          </w:tcPr>
          <w:p w14:paraId="4E075C43">
            <w:pPr>
              <w:jc w:val="center"/>
              <w:rPr>
                <w:rFonts w:ascii="宋体" w:hAnsi="宋体" w:eastAsia="宋体" w:cs="宋体"/>
                <w:color w:val="000000"/>
                <w:sz w:val="20"/>
                <w:szCs w:val="20"/>
              </w:rPr>
            </w:pPr>
          </w:p>
        </w:tc>
        <w:tc>
          <w:tcPr>
            <w:tcW w:w="672" w:type="dxa"/>
            <w:vMerge w:val="continue"/>
            <w:shd w:val="clear" w:color="auto" w:fill="FFFFFF"/>
            <w:vAlign w:val="bottom"/>
          </w:tcPr>
          <w:p w14:paraId="60EC113D">
            <w:pPr>
              <w:jc w:val="left"/>
              <w:rPr>
                <w:rFonts w:ascii="宋体" w:hAnsi="宋体" w:eastAsia="宋体" w:cs="宋体"/>
                <w:color w:val="000000"/>
                <w:sz w:val="20"/>
                <w:szCs w:val="20"/>
              </w:rPr>
            </w:pPr>
          </w:p>
        </w:tc>
      </w:tr>
      <w:tr w14:paraId="2E19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33B3471E">
            <w:pPr>
              <w:jc w:val="center"/>
              <w:rPr>
                <w:rFonts w:ascii="宋体" w:hAnsi="宋体" w:eastAsia="宋体" w:cs="宋体"/>
                <w:color w:val="000000"/>
                <w:sz w:val="20"/>
                <w:szCs w:val="20"/>
              </w:rPr>
            </w:pPr>
          </w:p>
        </w:tc>
        <w:tc>
          <w:tcPr>
            <w:tcW w:w="825" w:type="dxa"/>
            <w:vMerge w:val="continue"/>
            <w:shd w:val="clear" w:color="auto" w:fill="FFFFFF"/>
            <w:vAlign w:val="center"/>
          </w:tcPr>
          <w:p w14:paraId="3C6C59C8">
            <w:pPr>
              <w:jc w:val="left"/>
              <w:rPr>
                <w:rFonts w:ascii="宋体" w:hAnsi="宋体" w:eastAsia="宋体" w:cs="宋体"/>
                <w:color w:val="000000"/>
                <w:sz w:val="20"/>
                <w:szCs w:val="20"/>
              </w:rPr>
            </w:pPr>
          </w:p>
        </w:tc>
        <w:tc>
          <w:tcPr>
            <w:tcW w:w="5780" w:type="dxa"/>
            <w:shd w:val="clear" w:color="auto" w:fill="FFFFFF"/>
            <w:vAlign w:val="center"/>
          </w:tcPr>
          <w:p w14:paraId="23BD2C7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 xml:space="preserve">材质：PP塑料（塑胶） ，结实牢固耐用不易脱落。 </w:t>
            </w:r>
          </w:p>
        </w:tc>
        <w:tc>
          <w:tcPr>
            <w:tcW w:w="712" w:type="dxa"/>
            <w:vMerge w:val="continue"/>
            <w:shd w:val="clear" w:color="auto" w:fill="FFFFFF"/>
            <w:vAlign w:val="center"/>
          </w:tcPr>
          <w:p w14:paraId="2B5EC7BD">
            <w:pPr>
              <w:jc w:val="center"/>
              <w:rPr>
                <w:rFonts w:ascii="宋体" w:hAnsi="宋体" w:eastAsia="宋体" w:cs="宋体"/>
                <w:color w:val="000000"/>
                <w:sz w:val="20"/>
                <w:szCs w:val="20"/>
              </w:rPr>
            </w:pPr>
          </w:p>
        </w:tc>
        <w:tc>
          <w:tcPr>
            <w:tcW w:w="825" w:type="dxa"/>
            <w:vMerge w:val="continue"/>
            <w:shd w:val="clear" w:color="auto" w:fill="FFFFFF"/>
            <w:vAlign w:val="center"/>
          </w:tcPr>
          <w:p w14:paraId="6E216B95">
            <w:pPr>
              <w:jc w:val="center"/>
              <w:rPr>
                <w:rFonts w:ascii="宋体" w:hAnsi="宋体" w:eastAsia="宋体" w:cs="宋体"/>
                <w:color w:val="000000"/>
                <w:sz w:val="20"/>
                <w:szCs w:val="20"/>
              </w:rPr>
            </w:pPr>
          </w:p>
        </w:tc>
        <w:tc>
          <w:tcPr>
            <w:tcW w:w="672" w:type="dxa"/>
            <w:vMerge w:val="continue"/>
            <w:shd w:val="clear" w:color="auto" w:fill="FFFFFF"/>
            <w:vAlign w:val="bottom"/>
          </w:tcPr>
          <w:p w14:paraId="13292FBD">
            <w:pPr>
              <w:jc w:val="left"/>
              <w:rPr>
                <w:rFonts w:ascii="宋体" w:hAnsi="宋体" w:eastAsia="宋体" w:cs="宋体"/>
                <w:color w:val="000000"/>
                <w:sz w:val="20"/>
                <w:szCs w:val="20"/>
              </w:rPr>
            </w:pPr>
          </w:p>
        </w:tc>
      </w:tr>
      <w:tr w14:paraId="3AAC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44DA0BC">
            <w:pPr>
              <w:jc w:val="center"/>
              <w:rPr>
                <w:rFonts w:ascii="宋体" w:hAnsi="宋体" w:eastAsia="宋体" w:cs="宋体"/>
                <w:color w:val="000000"/>
                <w:sz w:val="20"/>
                <w:szCs w:val="20"/>
              </w:rPr>
            </w:pPr>
          </w:p>
        </w:tc>
        <w:tc>
          <w:tcPr>
            <w:tcW w:w="825" w:type="dxa"/>
            <w:vMerge w:val="continue"/>
            <w:shd w:val="clear" w:color="auto" w:fill="FFFFFF"/>
            <w:vAlign w:val="center"/>
          </w:tcPr>
          <w:p w14:paraId="011C046C">
            <w:pPr>
              <w:jc w:val="left"/>
              <w:rPr>
                <w:rFonts w:ascii="宋体" w:hAnsi="宋体" w:eastAsia="宋体" w:cs="宋体"/>
                <w:color w:val="000000"/>
                <w:sz w:val="20"/>
                <w:szCs w:val="20"/>
              </w:rPr>
            </w:pPr>
          </w:p>
        </w:tc>
        <w:tc>
          <w:tcPr>
            <w:tcW w:w="5780" w:type="dxa"/>
            <w:shd w:val="clear" w:color="auto" w:fill="FFFFFF"/>
            <w:vAlign w:val="center"/>
          </w:tcPr>
          <w:p w14:paraId="2AE258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0"/>
                <w:szCs w:val="20"/>
              </w:rPr>
            </w:pPr>
            <w:r>
              <w:rPr>
                <w:rFonts w:hint="eastAsia" w:ascii="宋体" w:hAnsi="宋体" w:eastAsia="宋体" w:cs="宋体"/>
                <w:b/>
                <w:sz w:val="21"/>
                <w:szCs w:val="21"/>
              </w:rPr>
              <w:t>G.其他配件</w:t>
            </w:r>
            <w:r>
              <w:rPr>
                <w:rFonts w:hint="eastAsia" w:ascii="宋体" w:hAnsi="宋体" w:eastAsia="宋体" w:cs="宋体"/>
                <w:sz w:val="21"/>
                <w:szCs w:val="21"/>
              </w:rPr>
              <w:t>（简述）</w:t>
            </w:r>
          </w:p>
        </w:tc>
        <w:tc>
          <w:tcPr>
            <w:tcW w:w="712" w:type="dxa"/>
            <w:vMerge w:val="continue"/>
            <w:shd w:val="clear" w:color="auto" w:fill="FFFFFF"/>
            <w:vAlign w:val="center"/>
          </w:tcPr>
          <w:p w14:paraId="486D328F">
            <w:pPr>
              <w:jc w:val="center"/>
              <w:rPr>
                <w:rFonts w:ascii="宋体" w:hAnsi="宋体" w:eastAsia="宋体" w:cs="宋体"/>
                <w:color w:val="000000"/>
                <w:sz w:val="20"/>
                <w:szCs w:val="20"/>
              </w:rPr>
            </w:pPr>
          </w:p>
        </w:tc>
        <w:tc>
          <w:tcPr>
            <w:tcW w:w="825" w:type="dxa"/>
            <w:vMerge w:val="continue"/>
            <w:shd w:val="clear" w:color="auto" w:fill="FFFFFF"/>
            <w:vAlign w:val="center"/>
          </w:tcPr>
          <w:p w14:paraId="2039628B">
            <w:pPr>
              <w:jc w:val="center"/>
              <w:rPr>
                <w:rFonts w:ascii="宋体" w:hAnsi="宋体" w:eastAsia="宋体" w:cs="宋体"/>
                <w:color w:val="000000"/>
                <w:sz w:val="20"/>
                <w:szCs w:val="20"/>
              </w:rPr>
            </w:pPr>
          </w:p>
        </w:tc>
        <w:tc>
          <w:tcPr>
            <w:tcW w:w="672" w:type="dxa"/>
            <w:vMerge w:val="continue"/>
            <w:shd w:val="clear" w:color="auto" w:fill="FFFFFF"/>
            <w:vAlign w:val="bottom"/>
          </w:tcPr>
          <w:p w14:paraId="54862E56">
            <w:pPr>
              <w:jc w:val="left"/>
              <w:rPr>
                <w:rFonts w:ascii="宋体" w:hAnsi="宋体" w:eastAsia="宋体" w:cs="宋体"/>
                <w:color w:val="000000"/>
                <w:sz w:val="20"/>
                <w:szCs w:val="20"/>
              </w:rPr>
            </w:pPr>
          </w:p>
        </w:tc>
      </w:tr>
      <w:tr w14:paraId="5BC7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3634E57">
            <w:pPr>
              <w:jc w:val="center"/>
              <w:rPr>
                <w:rFonts w:ascii="宋体" w:hAnsi="宋体" w:eastAsia="宋体" w:cs="宋体"/>
                <w:color w:val="000000"/>
                <w:sz w:val="20"/>
                <w:szCs w:val="20"/>
              </w:rPr>
            </w:pPr>
          </w:p>
        </w:tc>
        <w:tc>
          <w:tcPr>
            <w:tcW w:w="825" w:type="dxa"/>
            <w:vMerge w:val="continue"/>
            <w:shd w:val="clear" w:color="auto" w:fill="FFFFFF"/>
            <w:vAlign w:val="center"/>
          </w:tcPr>
          <w:p w14:paraId="13C11EEC">
            <w:pPr>
              <w:jc w:val="left"/>
              <w:rPr>
                <w:rFonts w:ascii="宋体" w:hAnsi="宋体" w:eastAsia="宋体" w:cs="宋体"/>
                <w:color w:val="000000"/>
                <w:sz w:val="20"/>
                <w:szCs w:val="20"/>
              </w:rPr>
            </w:pPr>
          </w:p>
        </w:tc>
        <w:tc>
          <w:tcPr>
            <w:tcW w:w="5780" w:type="dxa"/>
            <w:shd w:val="clear" w:color="auto" w:fill="FFFFFF"/>
            <w:vAlign w:val="center"/>
          </w:tcPr>
          <w:p w14:paraId="12288A15">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快速升降调节组件</w:t>
            </w:r>
          </w:p>
          <w:p w14:paraId="5289EE5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sz w:val="20"/>
                <w:szCs w:val="20"/>
              </w:rPr>
            </w:pPr>
            <w:r>
              <w:rPr>
                <w:rFonts w:hint="eastAsia" w:ascii="宋体" w:hAnsi="宋体" w:eastAsia="宋体" w:cs="宋体"/>
                <w:sz w:val="21"/>
                <w:szCs w:val="21"/>
              </w:rPr>
              <w:t>可调式升降结构：采用上下安全升降结构组合成，课桌桌腿升降器由中间传动轴连接课桌的左右腿活动立管，可以同时升降。</w:t>
            </w:r>
          </w:p>
        </w:tc>
        <w:tc>
          <w:tcPr>
            <w:tcW w:w="712" w:type="dxa"/>
            <w:vMerge w:val="continue"/>
            <w:shd w:val="clear" w:color="auto" w:fill="FFFFFF"/>
            <w:vAlign w:val="center"/>
          </w:tcPr>
          <w:p w14:paraId="18A36417">
            <w:pPr>
              <w:jc w:val="center"/>
              <w:rPr>
                <w:rFonts w:ascii="宋体" w:hAnsi="宋体" w:eastAsia="宋体" w:cs="宋体"/>
                <w:color w:val="000000"/>
                <w:sz w:val="20"/>
                <w:szCs w:val="20"/>
              </w:rPr>
            </w:pPr>
          </w:p>
        </w:tc>
        <w:tc>
          <w:tcPr>
            <w:tcW w:w="825" w:type="dxa"/>
            <w:vMerge w:val="continue"/>
            <w:shd w:val="clear" w:color="auto" w:fill="FFFFFF"/>
            <w:vAlign w:val="center"/>
          </w:tcPr>
          <w:p w14:paraId="4F43831F">
            <w:pPr>
              <w:jc w:val="center"/>
              <w:rPr>
                <w:rFonts w:ascii="宋体" w:hAnsi="宋体" w:eastAsia="宋体" w:cs="宋体"/>
                <w:color w:val="000000"/>
                <w:sz w:val="20"/>
                <w:szCs w:val="20"/>
              </w:rPr>
            </w:pPr>
          </w:p>
        </w:tc>
        <w:tc>
          <w:tcPr>
            <w:tcW w:w="672" w:type="dxa"/>
            <w:vMerge w:val="continue"/>
            <w:shd w:val="clear" w:color="auto" w:fill="FFFFFF"/>
            <w:vAlign w:val="bottom"/>
          </w:tcPr>
          <w:p w14:paraId="6C0A2203">
            <w:pPr>
              <w:jc w:val="left"/>
              <w:rPr>
                <w:rFonts w:ascii="宋体" w:hAnsi="宋体" w:eastAsia="宋体" w:cs="宋体"/>
                <w:color w:val="000000"/>
                <w:sz w:val="20"/>
                <w:szCs w:val="20"/>
              </w:rPr>
            </w:pPr>
          </w:p>
        </w:tc>
      </w:tr>
      <w:tr w14:paraId="54DA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932DDFB">
            <w:pPr>
              <w:jc w:val="center"/>
              <w:rPr>
                <w:rFonts w:ascii="宋体" w:hAnsi="宋体" w:eastAsia="宋体" w:cs="宋体"/>
                <w:color w:val="000000"/>
                <w:sz w:val="20"/>
                <w:szCs w:val="20"/>
              </w:rPr>
            </w:pPr>
          </w:p>
        </w:tc>
        <w:tc>
          <w:tcPr>
            <w:tcW w:w="825" w:type="dxa"/>
            <w:vMerge w:val="continue"/>
            <w:shd w:val="clear" w:color="auto" w:fill="FFFFFF"/>
            <w:vAlign w:val="center"/>
          </w:tcPr>
          <w:p w14:paraId="4F7AAA38">
            <w:pPr>
              <w:jc w:val="left"/>
              <w:rPr>
                <w:rFonts w:ascii="宋体" w:hAnsi="宋体" w:eastAsia="宋体" w:cs="宋体"/>
                <w:color w:val="000000"/>
                <w:sz w:val="20"/>
                <w:szCs w:val="20"/>
              </w:rPr>
            </w:pPr>
          </w:p>
        </w:tc>
        <w:tc>
          <w:tcPr>
            <w:tcW w:w="5780" w:type="dxa"/>
            <w:shd w:val="clear" w:color="auto" w:fill="FFFFFF"/>
            <w:vAlign w:val="center"/>
          </w:tcPr>
          <w:p w14:paraId="2FE0FD7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ascii="宋体" w:hAnsi="宋体" w:eastAsia="宋体" w:cs="宋体"/>
                <w:color w:val="000000"/>
                <w:sz w:val="20"/>
                <w:szCs w:val="20"/>
              </w:rPr>
            </w:pPr>
            <w:r>
              <w:rPr>
                <w:rFonts w:hint="eastAsia" w:ascii="宋体" w:hAnsi="宋体" w:eastAsia="宋体" w:cs="宋体"/>
                <w:sz w:val="21"/>
                <w:szCs w:val="21"/>
              </w:rPr>
              <w:t>组件装置安全性：桌腿外侧外观无外露螺丝五金件，左右腿都可以调整高度。</w:t>
            </w:r>
          </w:p>
        </w:tc>
        <w:tc>
          <w:tcPr>
            <w:tcW w:w="712" w:type="dxa"/>
            <w:vMerge w:val="continue"/>
            <w:shd w:val="clear" w:color="auto" w:fill="FFFFFF"/>
            <w:vAlign w:val="center"/>
          </w:tcPr>
          <w:p w14:paraId="65696166">
            <w:pPr>
              <w:jc w:val="center"/>
              <w:rPr>
                <w:rFonts w:ascii="宋体" w:hAnsi="宋体" w:eastAsia="宋体" w:cs="宋体"/>
                <w:color w:val="000000"/>
                <w:sz w:val="20"/>
                <w:szCs w:val="20"/>
              </w:rPr>
            </w:pPr>
          </w:p>
        </w:tc>
        <w:tc>
          <w:tcPr>
            <w:tcW w:w="825" w:type="dxa"/>
            <w:vMerge w:val="continue"/>
            <w:shd w:val="clear" w:color="auto" w:fill="FFFFFF"/>
            <w:vAlign w:val="center"/>
          </w:tcPr>
          <w:p w14:paraId="16CA80B7">
            <w:pPr>
              <w:jc w:val="center"/>
              <w:rPr>
                <w:rFonts w:ascii="宋体" w:hAnsi="宋体" w:eastAsia="宋体" w:cs="宋体"/>
                <w:color w:val="000000"/>
                <w:sz w:val="20"/>
                <w:szCs w:val="20"/>
              </w:rPr>
            </w:pPr>
          </w:p>
        </w:tc>
        <w:tc>
          <w:tcPr>
            <w:tcW w:w="672" w:type="dxa"/>
            <w:vMerge w:val="continue"/>
            <w:shd w:val="clear" w:color="auto" w:fill="FFFFFF"/>
            <w:vAlign w:val="bottom"/>
          </w:tcPr>
          <w:p w14:paraId="71B8AD37">
            <w:pPr>
              <w:jc w:val="left"/>
              <w:rPr>
                <w:rFonts w:ascii="宋体" w:hAnsi="宋体" w:eastAsia="宋体" w:cs="宋体"/>
                <w:color w:val="000000"/>
                <w:sz w:val="20"/>
                <w:szCs w:val="20"/>
              </w:rPr>
            </w:pPr>
          </w:p>
        </w:tc>
      </w:tr>
      <w:tr w14:paraId="549A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D5C3BF5">
            <w:pPr>
              <w:jc w:val="center"/>
              <w:rPr>
                <w:rFonts w:ascii="宋体" w:hAnsi="宋体" w:eastAsia="宋体" w:cs="宋体"/>
                <w:color w:val="000000"/>
                <w:sz w:val="20"/>
                <w:szCs w:val="20"/>
              </w:rPr>
            </w:pPr>
          </w:p>
        </w:tc>
        <w:tc>
          <w:tcPr>
            <w:tcW w:w="825" w:type="dxa"/>
            <w:vMerge w:val="continue"/>
            <w:shd w:val="clear" w:color="auto" w:fill="FFFFFF"/>
            <w:vAlign w:val="center"/>
          </w:tcPr>
          <w:p w14:paraId="66751725">
            <w:pPr>
              <w:jc w:val="left"/>
              <w:rPr>
                <w:rFonts w:ascii="宋体" w:hAnsi="宋体" w:eastAsia="宋体" w:cs="宋体"/>
                <w:color w:val="000000"/>
                <w:sz w:val="20"/>
                <w:szCs w:val="20"/>
              </w:rPr>
            </w:pPr>
          </w:p>
        </w:tc>
        <w:tc>
          <w:tcPr>
            <w:tcW w:w="5780" w:type="dxa"/>
            <w:shd w:val="clear" w:color="auto" w:fill="FFFFFF"/>
            <w:vAlign w:val="center"/>
          </w:tcPr>
          <w:p w14:paraId="3505CAE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left"/>
              <w:textAlignment w:val="auto"/>
              <w:rPr>
                <w:rFonts w:ascii="宋体" w:hAnsi="宋体" w:eastAsia="宋体" w:cs="宋体"/>
                <w:color w:val="000000"/>
                <w:sz w:val="20"/>
                <w:szCs w:val="20"/>
              </w:rPr>
            </w:pPr>
            <w:r>
              <w:rPr>
                <w:rFonts w:hint="eastAsia" w:ascii="宋体" w:hAnsi="宋体" w:eastAsia="宋体" w:cs="宋体"/>
                <w:sz w:val="21"/>
                <w:szCs w:val="21"/>
              </w:rPr>
              <w:t>升降技术要求：手摇升降调节，每张课桌满足手摇升降调节行程不少于</w:t>
            </w:r>
            <w:r>
              <w:rPr>
                <w:rFonts w:hint="eastAsia" w:ascii="宋体" w:hAnsi="宋体" w:eastAsia="宋体" w:cs="宋体"/>
                <w:sz w:val="21"/>
                <w:szCs w:val="21"/>
                <w:lang w:val="en-US" w:eastAsia="zh-CN"/>
              </w:rPr>
              <w:t>15</w:t>
            </w:r>
            <w:r>
              <w:rPr>
                <w:rFonts w:hint="eastAsia" w:ascii="宋体" w:hAnsi="宋体" w:eastAsia="宋体" w:cs="宋体"/>
                <w:sz w:val="21"/>
                <w:szCs w:val="21"/>
              </w:rPr>
              <w:t>cm,符合GB/T3976-2014《学校课桌椅功能尺寸及技术要求》 0～</w:t>
            </w:r>
            <w:r>
              <w:rPr>
                <w:rFonts w:hint="eastAsia" w:ascii="宋体" w:hAnsi="宋体" w:eastAsia="宋体" w:cs="宋体"/>
                <w:sz w:val="21"/>
                <w:szCs w:val="21"/>
                <w:lang w:val="en-US" w:eastAsia="zh-CN"/>
              </w:rPr>
              <w:t>5</w:t>
            </w:r>
            <w:r>
              <w:rPr>
                <w:rFonts w:hint="eastAsia" w:ascii="宋体" w:hAnsi="宋体" w:eastAsia="宋体" w:cs="宋体"/>
                <w:sz w:val="21"/>
                <w:szCs w:val="21"/>
              </w:rPr>
              <w:t>号、</w:t>
            </w:r>
            <w:r>
              <w:rPr>
                <w:rFonts w:hint="eastAsia" w:ascii="宋体" w:hAnsi="宋体" w:eastAsia="宋体" w:cs="宋体"/>
                <w:sz w:val="21"/>
                <w:szCs w:val="21"/>
                <w:lang w:val="en-US" w:eastAsia="zh-CN"/>
              </w:rPr>
              <w:t>4</w:t>
            </w:r>
            <w:r>
              <w:rPr>
                <w:rFonts w:hint="eastAsia" w:ascii="宋体" w:hAnsi="宋体" w:eastAsia="宋体" w:cs="宋体"/>
                <w:sz w:val="21"/>
                <w:szCs w:val="21"/>
              </w:rPr>
              <w:t>～9号学生课桌标准，可调节高度区间为</w:t>
            </w:r>
            <w:r>
              <w:rPr>
                <w:rFonts w:hint="eastAsia" w:ascii="宋体" w:hAnsi="宋体" w:eastAsia="宋体" w:cs="宋体"/>
                <w:sz w:val="21"/>
                <w:szCs w:val="21"/>
                <w:lang w:val="en-US" w:eastAsia="zh-CN"/>
              </w:rPr>
              <w:t>64</w:t>
            </w:r>
            <w:r>
              <w:rPr>
                <w:rFonts w:hint="eastAsia" w:ascii="宋体" w:hAnsi="宋体" w:eastAsia="宋体" w:cs="宋体"/>
                <w:sz w:val="21"/>
                <w:szCs w:val="21"/>
              </w:rPr>
              <w:t>cm-</w:t>
            </w:r>
            <w:r>
              <w:rPr>
                <w:rFonts w:hint="eastAsia" w:ascii="宋体" w:hAnsi="宋体" w:eastAsia="宋体" w:cs="宋体"/>
                <w:sz w:val="21"/>
                <w:szCs w:val="21"/>
                <w:lang w:val="en-US" w:eastAsia="zh-CN"/>
              </w:rPr>
              <w:t>79</w:t>
            </w:r>
            <w:r>
              <w:rPr>
                <w:rFonts w:hint="eastAsia" w:ascii="宋体" w:hAnsi="宋体" w:eastAsia="宋体" w:cs="宋体"/>
                <w:sz w:val="21"/>
                <w:szCs w:val="21"/>
              </w:rPr>
              <w:t>cm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w:t>
            </w:r>
            <w:r>
              <w:rPr>
                <w:rFonts w:hint="eastAsia" w:ascii="宋体" w:hAnsi="宋体" w:eastAsia="宋体" w:cs="宋体"/>
                <w:sz w:val="21"/>
                <w:szCs w:val="21"/>
              </w:rPr>
              <w:t>cm-</w:t>
            </w:r>
            <w:r>
              <w:rPr>
                <w:rFonts w:hint="eastAsia" w:ascii="宋体" w:hAnsi="宋体" w:eastAsia="宋体" w:cs="宋体"/>
                <w:sz w:val="21"/>
                <w:szCs w:val="21"/>
                <w:lang w:val="en-US" w:eastAsia="zh-CN"/>
              </w:rPr>
              <w:t>67</w:t>
            </w:r>
            <w:r>
              <w:rPr>
                <w:rFonts w:hint="eastAsia" w:ascii="宋体" w:hAnsi="宋体" w:eastAsia="宋体" w:cs="宋体"/>
                <w:sz w:val="21"/>
                <w:szCs w:val="21"/>
              </w:rPr>
              <w:t>cm，在区间内可通过手摇升降快速调节到任意的高度，满足不同学生身高体重个性需求，从而达到（GB/T3976-2014《学校课桌椅功能尺寸及技术要求》）要求（具体实际要求高度以学校要求为准）。升降刻度尺采用激光镭射打印。一把手摇柄可以满足该批全部课桌椅调节，每班标配2把。课桌选择的具体调节型号范围，中标后可根据使用年级另行确定，存在不同调节范围的情况，中标供应商无条件配合。</w:t>
            </w:r>
          </w:p>
        </w:tc>
        <w:tc>
          <w:tcPr>
            <w:tcW w:w="712" w:type="dxa"/>
            <w:vMerge w:val="continue"/>
            <w:shd w:val="clear" w:color="auto" w:fill="FFFFFF"/>
            <w:vAlign w:val="center"/>
          </w:tcPr>
          <w:p w14:paraId="3A468977">
            <w:pPr>
              <w:jc w:val="center"/>
              <w:rPr>
                <w:rFonts w:ascii="宋体" w:hAnsi="宋体" w:eastAsia="宋体" w:cs="宋体"/>
                <w:color w:val="000000"/>
                <w:sz w:val="20"/>
                <w:szCs w:val="20"/>
              </w:rPr>
            </w:pPr>
          </w:p>
        </w:tc>
        <w:tc>
          <w:tcPr>
            <w:tcW w:w="825" w:type="dxa"/>
            <w:vMerge w:val="continue"/>
            <w:shd w:val="clear" w:color="auto" w:fill="FFFFFF"/>
            <w:vAlign w:val="center"/>
          </w:tcPr>
          <w:p w14:paraId="3F1469E1">
            <w:pPr>
              <w:jc w:val="center"/>
              <w:rPr>
                <w:rFonts w:ascii="宋体" w:hAnsi="宋体" w:eastAsia="宋体" w:cs="宋体"/>
                <w:color w:val="000000"/>
                <w:sz w:val="20"/>
                <w:szCs w:val="20"/>
              </w:rPr>
            </w:pPr>
          </w:p>
        </w:tc>
        <w:tc>
          <w:tcPr>
            <w:tcW w:w="672" w:type="dxa"/>
            <w:vMerge w:val="continue"/>
            <w:shd w:val="clear" w:color="auto" w:fill="FFFFFF"/>
            <w:vAlign w:val="bottom"/>
          </w:tcPr>
          <w:p w14:paraId="0D2EB9CD">
            <w:pPr>
              <w:jc w:val="left"/>
              <w:rPr>
                <w:rFonts w:ascii="宋体" w:hAnsi="宋体" w:eastAsia="宋体" w:cs="宋体"/>
                <w:color w:val="000000"/>
                <w:sz w:val="20"/>
                <w:szCs w:val="20"/>
              </w:rPr>
            </w:pPr>
          </w:p>
        </w:tc>
      </w:tr>
      <w:tr w14:paraId="1F87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shd w:val="clear" w:color="auto" w:fill="auto"/>
            <w:vAlign w:val="center"/>
          </w:tcPr>
          <w:p w14:paraId="4E8CF460">
            <w:pPr>
              <w:widowControl/>
              <w:jc w:val="center"/>
              <w:textAlignment w:val="center"/>
              <w:rPr>
                <w:rFonts w:ascii="宋体" w:hAnsi="宋体" w:eastAsia="宋体" w:cs="宋体"/>
                <w:color w:val="000000"/>
                <w:sz w:val="20"/>
                <w:szCs w:val="20"/>
              </w:rPr>
            </w:pPr>
            <w:r>
              <w:rPr>
                <w:rFonts w:hint="eastAsia" w:ascii="宋体" w:hAnsi="宋体" w:eastAsia="宋体" w:cs="宋体"/>
                <w:kern w:val="0"/>
                <w:sz w:val="21"/>
                <w:szCs w:val="21"/>
                <w:lang w:val="en-US" w:eastAsia="zh-CN"/>
              </w:rPr>
              <w:t>2</w:t>
            </w:r>
          </w:p>
        </w:tc>
        <w:tc>
          <w:tcPr>
            <w:tcW w:w="825" w:type="dxa"/>
            <w:vMerge w:val="restart"/>
            <w:shd w:val="clear" w:color="auto" w:fill="auto"/>
            <w:vAlign w:val="center"/>
          </w:tcPr>
          <w:p w14:paraId="1087E537">
            <w:pPr>
              <w:widowControl/>
              <w:jc w:val="left"/>
              <w:textAlignment w:val="center"/>
              <w:rPr>
                <w:rFonts w:hint="eastAsia" w:ascii="宋体" w:hAnsi="宋体" w:eastAsia="宋体" w:cs="宋体"/>
                <w:color w:val="000000"/>
                <w:sz w:val="20"/>
                <w:szCs w:val="20"/>
              </w:rPr>
            </w:pPr>
            <w:r>
              <w:rPr>
                <w:rFonts w:hint="eastAsia" w:ascii="宋体" w:hAnsi="宋体" w:eastAsia="宋体" w:cs="宋体"/>
                <w:kern w:val="0"/>
                <w:sz w:val="21"/>
                <w:szCs w:val="21"/>
                <w:lang w:val="en-US" w:eastAsia="zh-CN"/>
              </w:rPr>
              <w:t>升降课椅</w:t>
            </w:r>
          </w:p>
        </w:tc>
        <w:tc>
          <w:tcPr>
            <w:tcW w:w="5780" w:type="dxa"/>
            <w:shd w:val="clear" w:color="auto" w:fill="auto"/>
            <w:vAlign w:val="center"/>
          </w:tcPr>
          <w:p w14:paraId="48711664">
            <w:pPr>
              <w:spacing w:line="240" w:lineRule="auto"/>
              <w:jc w:val="left"/>
              <w:rPr>
                <w:rFonts w:ascii="宋体" w:hAnsi="宋体" w:eastAsia="宋体" w:cs="宋体"/>
                <w:color w:val="000000"/>
                <w:sz w:val="20"/>
                <w:szCs w:val="20"/>
              </w:rPr>
            </w:pPr>
            <w:r>
              <w:rPr>
                <w:rFonts w:hint="eastAsia" w:ascii="宋体" w:hAnsi="宋体" w:eastAsia="宋体" w:cs="宋体"/>
                <w:b/>
                <w:bCs/>
                <w:sz w:val="21"/>
                <w:szCs w:val="21"/>
                <w:lang w:val="en-US" w:eastAsia="zh-CN"/>
              </w:rPr>
              <w:t>A.靠背</w:t>
            </w:r>
          </w:p>
        </w:tc>
        <w:tc>
          <w:tcPr>
            <w:tcW w:w="712" w:type="dxa"/>
            <w:vMerge w:val="restart"/>
            <w:shd w:val="clear" w:color="auto" w:fill="auto"/>
            <w:vAlign w:val="center"/>
          </w:tcPr>
          <w:p w14:paraId="3574E9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250</w:t>
            </w:r>
          </w:p>
        </w:tc>
        <w:tc>
          <w:tcPr>
            <w:tcW w:w="825" w:type="dxa"/>
            <w:vMerge w:val="restart"/>
            <w:shd w:val="clear" w:color="auto" w:fill="auto"/>
            <w:vAlign w:val="center"/>
          </w:tcPr>
          <w:p w14:paraId="611B63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张</w:t>
            </w:r>
          </w:p>
        </w:tc>
        <w:tc>
          <w:tcPr>
            <w:tcW w:w="672" w:type="dxa"/>
            <w:vMerge w:val="restart"/>
            <w:shd w:val="clear" w:color="auto" w:fill="auto"/>
            <w:noWrap/>
            <w:vAlign w:val="bottom"/>
          </w:tcPr>
          <w:p w14:paraId="72BEDF3D">
            <w:pPr>
              <w:rPr>
                <w:rFonts w:ascii="宋体" w:hAnsi="宋体" w:eastAsia="宋体" w:cs="宋体"/>
                <w:color w:val="000000"/>
                <w:sz w:val="22"/>
              </w:rPr>
            </w:pPr>
          </w:p>
        </w:tc>
      </w:tr>
      <w:tr w14:paraId="6D67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1B9CB389">
            <w:pPr>
              <w:jc w:val="center"/>
              <w:rPr>
                <w:rFonts w:ascii="宋体" w:hAnsi="宋体" w:eastAsia="宋体" w:cs="宋体"/>
                <w:color w:val="000000"/>
                <w:sz w:val="20"/>
                <w:szCs w:val="20"/>
              </w:rPr>
            </w:pPr>
          </w:p>
        </w:tc>
        <w:tc>
          <w:tcPr>
            <w:tcW w:w="825" w:type="dxa"/>
            <w:vMerge w:val="continue"/>
            <w:shd w:val="clear" w:color="auto" w:fill="auto"/>
            <w:vAlign w:val="center"/>
          </w:tcPr>
          <w:p w14:paraId="65A05C8B">
            <w:pPr>
              <w:jc w:val="left"/>
              <w:rPr>
                <w:rFonts w:ascii="宋体" w:hAnsi="宋体" w:eastAsia="宋体" w:cs="宋体"/>
                <w:color w:val="000000"/>
                <w:sz w:val="20"/>
                <w:szCs w:val="20"/>
              </w:rPr>
            </w:pPr>
          </w:p>
        </w:tc>
        <w:tc>
          <w:tcPr>
            <w:tcW w:w="5780" w:type="dxa"/>
            <w:shd w:val="clear" w:color="auto" w:fill="auto"/>
            <w:vAlign w:val="center"/>
          </w:tcPr>
          <w:p w14:paraId="540B2F2A">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 xml:space="preserve">材质：PP塑料（塑胶） </w:t>
            </w:r>
          </w:p>
        </w:tc>
        <w:tc>
          <w:tcPr>
            <w:tcW w:w="712" w:type="dxa"/>
            <w:vMerge w:val="continue"/>
            <w:shd w:val="clear" w:color="auto" w:fill="auto"/>
            <w:vAlign w:val="center"/>
          </w:tcPr>
          <w:p w14:paraId="4C1D42F6">
            <w:pPr>
              <w:jc w:val="center"/>
              <w:rPr>
                <w:rFonts w:ascii="宋体" w:hAnsi="宋体" w:eastAsia="宋体" w:cs="宋体"/>
                <w:color w:val="000000"/>
                <w:sz w:val="20"/>
                <w:szCs w:val="20"/>
              </w:rPr>
            </w:pPr>
          </w:p>
        </w:tc>
        <w:tc>
          <w:tcPr>
            <w:tcW w:w="825" w:type="dxa"/>
            <w:vMerge w:val="continue"/>
            <w:shd w:val="clear" w:color="auto" w:fill="auto"/>
            <w:vAlign w:val="center"/>
          </w:tcPr>
          <w:p w14:paraId="199EB601">
            <w:pPr>
              <w:jc w:val="center"/>
              <w:rPr>
                <w:rFonts w:ascii="宋体" w:hAnsi="宋体" w:eastAsia="宋体" w:cs="宋体"/>
                <w:color w:val="000000"/>
                <w:sz w:val="20"/>
                <w:szCs w:val="20"/>
              </w:rPr>
            </w:pPr>
          </w:p>
        </w:tc>
        <w:tc>
          <w:tcPr>
            <w:tcW w:w="672" w:type="dxa"/>
            <w:vMerge w:val="continue"/>
            <w:shd w:val="clear" w:color="auto" w:fill="auto"/>
            <w:noWrap/>
            <w:vAlign w:val="bottom"/>
          </w:tcPr>
          <w:p w14:paraId="78B907A5">
            <w:pPr>
              <w:rPr>
                <w:rFonts w:ascii="宋体" w:hAnsi="宋体" w:eastAsia="宋体" w:cs="宋体"/>
                <w:color w:val="000000"/>
                <w:sz w:val="22"/>
              </w:rPr>
            </w:pPr>
          </w:p>
        </w:tc>
      </w:tr>
      <w:tr w14:paraId="7647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2E7B26B0">
            <w:pPr>
              <w:jc w:val="center"/>
              <w:rPr>
                <w:rFonts w:ascii="宋体" w:hAnsi="宋体" w:eastAsia="宋体" w:cs="宋体"/>
                <w:color w:val="000000"/>
                <w:sz w:val="20"/>
                <w:szCs w:val="20"/>
              </w:rPr>
            </w:pPr>
          </w:p>
        </w:tc>
        <w:tc>
          <w:tcPr>
            <w:tcW w:w="825" w:type="dxa"/>
            <w:vMerge w:val="continue"/>
            <w:shd w:val="clear" w:color="auto" w:fill="auto"/>
            <w:vAlign w:val="center"/>
          </w:tcPr>
          <w:p w14:paraId="45880587">
            <w:pPr>
              <w:jc w:val="left"/>
              <w:rPr>
                <w:rFonts w:ascii="宋体" w:hAnsi="宋体" w:eastAsia="宋体" w:cs="宋体"/>
                <w:color w:val="000000"/>
                <w:sz w:val="20"/>
                <w:szCs w:val="20"/>
              </w:rPr>
            </w:pPr>
          </w:p>
        </w:tc>
        <w:tc>
          <w:tcPr>
            <w:tcW w:w="5780" w:type="dxa"/>
            <w:shd w:val="clear" w:color="auto" w:fill="auto"/>
            <w:vAlign w:val="center"/>
          </w:tcPr>
          <w:p w14:paraId="0E48F2D9">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w:t>
            </w:r>
            <w:r>
              <w:rPr>
                <w:rFonts w:hint="eastAsia" w:ascii="宋体" w:hAnsi="宋体" w:eastAsia="宋体" w:cs="宋体"/>
                <w:sz w:val="21"/>
                <w:szCs w:val="21"/>
                <w:lang w:val="en-US" w:eastAsia="zh-CN"/>
              </w:rPr>
              <w:t>课椅靠背</w:t>
            </w:r>
            <w:r>
              <w:rPr>
                <w:rFonts w:hint="eastAsia" w:ascii="宋体" w:hAnsi="宋体" w:eastAsia="宋体" w:cs="宋体"/>
                <w:sz w:val="21"/>
                <w:szCs w:val="21"/>
              </w:rPr>
              <w:t>PP塑料（塑胶）</w:t>
            </w:r>
            <w:r>
              <w:rPr>
                <w:rFonts w:hint="eastAsia" w:ascii="宋体" w:hAnsi="宋体" w:eastAsia="宋体" w:cs="宋体"/>
                <w:sz w:val="21"/>
                <w:szCs w:val="21"/>
                <w:lang w:eastAsia="zh-CN"/>
              </w:rPr>
              <w:t>：多溴二苯醚(PBDE)</w:t>
            </w:r>
            <w:r>
              <w:rPr>
                <w:rFonts w:hint="eastAsia" w:ascii="宋体" w:hAnsi="宋体" w:eastAsia="宋体" w:cs="宋体"/>
                <w:sz w:val="21"/>
                <w:szCs w:val="21"/>
                <w:lang w:val="en-US" w:eastAsia="zh-CN"/>
              </w:rPr>
              <w:t>≤1000mg/kg、多溴联苯(PBB)≤1000mg/kg、</w:t>
            </w:r>
            <w:r>
              <w:rPr>
                <w:rFonts w:hint="eastAsia" w:ascii="宋体" w:hAnsi="宋体" w:eastAsia="宋体" w:cs="宋体"/>
                <w:sz w:val="21"/>
                <w:szCs w:val="21"/>
                <w:lang w:eastAsia="zh-CN"/>
              </w:rPr>
              <w:t>邻苯二甲酸二丁</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(DBP)</w:t>
            </w:r>
            <w:r>
              <w:rPr>
                <w:rFonts w:hint="eastAsia" w:ascii="宋体" w:hAnsi="宋体" w:eastAsia="宋体" w:cs="宋体"/>
                <w:sz w:val="21"/>
                <w:szCs w:val="21"/>
                <w:lang w:val="en-US" w:eastAsia="zh-CN"/>
              </w:rPr>
              <w:t>≤0.1%</w:t>
            </w:r>
            <w:r>
              <w:rPr>
                <w:rFonts w:hint="eastAsia" w:ascii="宋体" w:hAnsi="宋体" w:eastAsia="宋体" w:cs="宋体"/>
                <w:sz w:val="21"/>
                <w:szCs w:val="21"/>
                <w:lang w:eastAsia="zh-CN"/>
              </w:rPr>
              <w:t>、邻苯二甲酸丁</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苄</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(BBP)</w:t>
            </w:r>
            <w:r>
              <w:rPr>
                <w:rFonts w:hint="eastAsia" w:ascii="宋体" w:hAnsi="宋体" w:eastAsia="宋体" w:cs="宋体"/>
                <w:sz w:val="21"/>
                <w:szCs w:val="21"/>
                <w:lang w:val="en-US" w:eastAsia="zh-CN"/>
              </w:rPr>
              <w:t>≤0.1%</w:t>
            </w:r>
            <w:r>
              <w:rPr>
                <w:rFonts w:hint="eastAsia" w:ascii="宋体" w:hAnsi="宋体" w:eastAsia="宋体" w:cs="宋体"/>
                <w:sz w:val="21"/>
                <w:szCs w:val="21"/>
                <w:lang w:eastAsia="zh-CN"/>
              </w:rPr>
              <w:t>、邻苯二甲酸二(2-乙基</w:t>
            </w:r>
            <w:r>
              <w:rPr>
                <w:rFonts w:hint="eastAsia" w:ascii="宋体" w:hAnsi="宋体" w:eastAsia="宋体" w:cs="宋体"/>
                <w:sz w:val="21"/>
                <w:szCs w:val="21"/>
                <w:lang w:val="en-US" w:eastAsia="zh-CN"/>
              </w:rPr>
              <w:t>己</w:t>
            </w:r>
            <w:r>
              <w:rPr>
                <w:rFonts w:hint="eastAsia" w:ascii="宋体" w:hAnsi="宋体" w:eastAsia="宋体" w:cs="宋体"/>
                <w:sz w:val="21"/>
                <w:szCs w:val="21"/>
                <w:lang w:eastAsia="zh-CN"/>
              </w:rPr>
              <w:t>基)酯(DEHP)</w:t>
            </w:r>
            <w:r>
              <w:rPr>
                <w:rFonts w:hint="eastAsia" w:ascii="宋体" w:hAnsi="宋体" w:eastAsia="宋体" w:cs="宋体"/>
                <w:sz w:val="21"/>
                <w:szCs w:val="21"/>
                <w:lang w:val="en-US" w:eastAsia="zh-CN"/>
              </w:rPr>
              <w:t>≤0.1%、</w:t>
            </w:r>
            <w:r>
              <w:rPr>
                <w:rFonts w:hint="eastAsia" w:ascii="宋体" w:hAnsi="宋体" w:eastAsia="宋体" w:cs="宋体"/>
                <w:sz w:val="21"/>
                <w:szCs w:val="21"/>
                <w:lang w:eastAsia="zh-CN"/>
              </w:rPr>
              <w:t>邻苯二甲酸二正辛</w:t>
            </w:r>
            <w:r>
              <w:rPr>
                <w:rFonts w:hint="eastAsia" w:ascii="宋体" w:hAnsi="宋体" w:eastAsia="宋体" w:cs="宋体"/>
                <w:sz w:val="21"/>
                <w:szCs w:val="21"/>
                <w:lang w:val="en-US" w:eastAsia="zh-CN"/>
              </w:rPr>
              <w:t>酯</w:t>
            </w:r>
            <w:r>
              <w:rPr>
                <w:rFonts w:hint="eastAsia" w:ascii="宋体" w:hAnsi="宋体" w:eastAsia="宋体" w:cs="宋体"/>
                <w:sz w:val="21"/>
                <w:szCs w:val="21"/>
                <w:lang w:eastAsia="zh-CN"/>
              </w:rPr>
              <w:t>(DNOP)</w:t>
            </w:r>
            <w:r>
              <w:rPr>
                <w:rFonts w:hint="eastAsia" w:ascii="宋体" w:hAnsi="宋体" w:eastAsia="宋体" w:cs="宋体"/>
                <w:sz w:val="21"/>
                <w:szCs w:val="21"/>
                <w:lang w:val="en-US" w:eastAsia="zh-CN"/>
              </w:rPr>
              <w:t>≤0.1%、邻苯二甲酸二异壬酯(DINP)≤0.1%、邻苯二甲酸二异癸酯(DIDP)≤0.1%、有害物质限量要求-重金属（</w:t>
            </w:r>
            <w:r>
              <w:rPr>
                <w:rFonts w:hint="eastAsia" w:ascii="宋体" w:hAnsi="宋体" w:eastAsia="宋体" w:cs="宋体"/>
                <w:sz w:val="21"/>
                <w:szCs w:val="21"/>
              </w:rPr>
              <w:t>可溶性铬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Cr</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≤60mg/kg</w:t>
            </w:r>
            <w:r>
              <w:rPr>
                <w:rFonts w:hint="eastAsia" w:ascii="宋体" w:hAnsi="宋体" w:eastAsia="宋体" w:cs="宋体"/>
                <w:sz w:val="21"/>
                <w:szCs w:val="21"/>
              </w:rPr>
              <w:t>、</w:t>
            </w:r>
            <w:r>
              <w:rPr>
                <w:rFonts w:hint="eastAsia" w:ascii="宋体" w:hAnsi="宋体" w:eastAsia="宋体" w:cs="宋体"/>
                <w:sz w:val="21"/>
                <w:szCs w:val="21"/>
                <w:lang w:val="en-US" w:eastAsia="zh-CN"/>
              </w:rPr>
              <w:t>可溶性铅（Pb）≤90mg/kg、</w:t>
            </w:r>
            <w:r>
              <w:rPr>
                <w:rFonts w:hint="eastAsia" w:ascii="宋体" w:hAnsi="宋体" w:eastAsia="宋体" w:cs="宋体"/>
                <w:sz w:val="21"/>
                <w:szCs w:val="21"/>
              </w:rPr>
              <w:t>可溶性汞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Hg</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≤60mg/kg、可溶性镉（Cd）≤75mg/kg</w:t>
            </w:r>
            <w:r>
              <w:rPr>
                <w:rFonts w:hint="eastAsia" w:ascii="宋体" w:hAnsi="宋体" w:eastAsia="宋体" w:cs="宋体"/>
                <w:sz w:val="21"/>
                <w:szCs w:val="21"/>
              </w:rPr>
              <w:t>）</w:t>
            </w:r>
            <w:r>
              <w:rPr>
                <w:rFonts w:hint="eastAsia" w:ascii="宋体" w:hAnsi="宋体" w:eastAsia="宋体" w:cs="宋体"/>
                <w:sz w:val="21"/>
                <w:szCs w:val="21"/>
                <w:lang w:eastAsia="zh-CN"/>
              </w:rPr>
              <w:t>、苯并[a]芘</w:t>
            </w:r>
            <w:r>
              <w:rPr>
                <w:rFonts w:hint="eastAsia" w:ascii="宋体" w:hAnsi="宋体" w:eastAsia="宋体" w:cs="宋体"/>
                <w:sz w:val="21"/>
                <w:szCs w:val="21"/>
                <w:lang w:val="en-US" w:eastAsia="zh-CN"/>
              </w:rPr>
              <w:t>≤1.0mg/kg、</w:t>
            </w:r>
            <w:r>
              <w:rPr>
                <w:rFonts w:hint="eastAsia" w:ascii="宋体" w:hAnsi="宋体" w:eastAsia="宋体" w:cs="宋体"/>
                <w:sz w:val="21"/>
                <w:szCs w:val="21"/>
              </w:rPr>
              <w:t>16种多环芳烃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PAH</w:t>
            </w:r>
            <w:r>
              <w:rPr>
                <w:rFonts w:hint="eastAsia" w:ascii="宋体" w:hAnsi="宋体" w:eastAsia="宋体" w:cs="宋体"/>
                <w:sz w:val="21"/>
                <w:szCs w:val="21"/>
                <w:lang w:eastAsia="zh-CN"/>
              </w:rPr>
              <w:t>）</w:t>
            </w:r>
            <w:r>
              <w:rPr>
                <w:rFonts w:hint="eastAsia" w:ascii="宋体" w:hAnsi="宋体" w:eastAsia="宋体" w:cs="宋体"/>
                <w:sz w:val="21"/>
                <w:szCs w:val="21"/>
              </w:rPr>
              <w:t>总</w:t>
            </w:r>
            <w:r>
              <w:rPr>
                <w:rFonts w:hint="eastAsia" w:ascii="宋体" w:hAnsi="宋体" w:eastAsia="宋体" w:cs="宋体"/>
                <w:sz w:val="21"/>
                <w:szCs w:val="21"/>
                <w:lang w:val="en-US" w:eastAsia="zh-CN"/>
              </w:rPr>
              <w:t>量≤10mg/kg；</w:t>
            </w:r>
            <w:r>
              <w:rPr>
                <w:rFonts w:hint="eastAsia" w:ascii="宋体" w:hAnsi="宋体" w:eastAsia="宋体" w:cs="宋体"/>
                <w:sz w:val="21"/>
                <w:szCs w:val="21"/>
              </w:rPr>
              <w:t>检验项目单项结论</w:t>
            </w:r>
            <w:r>
              <w:rPr>
                <w:rFonts w:hint="eastAsia" w:ascii="宋体" w:hAnsi="宋体" w:eastAsia="宋体" w:cs="宋体"/>
                <w:sz w:val="21"/>
                <w:szCs w:val="21"/>
                <w:lang w:val="en-US" w:eastAsia="zh-CN"/>
              </w:rPr>
              <w:t>均</w:t>
            </w:r>
            <w:r>
              <w:rPr>
                <w:rFonts w:hint="eastAsia" w:ascii="宋体" w:hAnsi="宋体" w:eastAsia="宋体" w:cs="宋体"/>
                <w:sz w:val="21"/>
                <w:szCs w:val="21"/>
              </w:rPr>
              <w:t>符合</w:t>
            </w:r>
            <w:r>
              <w:rPr>
                <w:rFonts w:hint="eastAsia" w:ascii="宋体" w:hAnsi="宋体" w:eastAsia="宋体" w:cs="宋体"/>
                <w:sz w:val="21"/>
                <w:szCs w:val="21"/>
                <w:lang w:val="en-US" w:eastAsia="zh-CN"/>
              </w:rPr>
              <w:t>要求</w:t>
            </w:r>
            <w:r>
              <w:rPr>
                <w:rFonts w:hint="eastAsia" w:ascii="宋体" w:hAnsi="宋体" w:eastAsia="宋体" w:cs="宋体"/>
                <w:sz w:val="21"/>
                <w:szCs w:val="21"/>
              </w:rPr>
              <w:t>；检测依据:SN/T 2005.2-2005电子电气产品中多溴联苯和多溴联苯醚的测定第2部分:气相色谱质谱法,SN/T 1877.2-2007 塑料原料及其制品中多环芳烃的测定方法</w:t>
            </w:r>
            <w:r>
              <w:rPr>
                <w:rFonts w:hint="eastAsia" w:ascii="宋体" w:hAnsi="宋体" w:eastAsia="宋体" w:cs="宋体"/>
                <w:sz w:val="21"/>
                <w:szCs w:val="21"/>
                <w:lang w:eastAsia="zh-CN"/>
              </w:rPr>
              <w:t>。</w:t>
            </w:r>
            <w:r>
              <w:rPr>
                <w:rFonts w:hint="eastAsia" w:ascii="宋体" w:hAnsi="宋体" w:eastAsia="宋体" w:cs="宋体"/>
                <w:b/>
                <w:bCs/>
                <w:color w:val="0000F4"/>
                <w:kern w:val="2"/>
                <w:sz w:val="21"/>
                <w:szCs w:val="21"/>
                <w:lang w:val="en-US" w:eastAsia="zh-CN" w:bidi="ar-SA"/>
              </w:rPr>
              <w:t>(投标时同时提供:①由第三方检验检测机构出具并加盖(或带有)“CMA”及“CNAS”标志的检验检测报告扫描件，原件备查;②上述检验检测报告在全国认证认可信息公共服务平台(认e云)(http://cx.cnca.cn/)的信息査询记录截图。注:对应参数(检验检测项)在检验检测报告中进行标注;检验检测报告出具的时间应在本项目投标截止日前1年内;如检验检测报告中明确备注说明相关检验检测项不在检验检测机构“CMA”及“CNAS”资质许可(认定)范围内的，不符合招标文件要求。）</w:t>
            </w:r>
          </w:p>
        </w:tc>
        <w:tc>
          <w:tcPr>
            <w:tcW w:w="712" w:type="dxa"/>
            <w:vMerge w:val="continue"/>
            <w:shd w:val="clear" w:color="auto" w:fill="auto"/>
            <w:vAlign w:val="center"/>
          </w:tcPr>
          <w:p w14:paraId="1F992A67">
            <w:pPr>
              <w:jc w:val="center"/>
              <w:rPr>
                <w:rFonts w:ascii="宋体" w:hAnsi="宋体" w:eastAsia="宋体" w:cs="宋体"/>
                <w:color w:val="000000"/>
                <w:sz w:val="20"/>
                <w:szCs w:val="20"/>
              </w:rPr>
            </w:pPr>
          </w:p>
        </w:tc>
        <w:tc>
          <w:tcPr>
            <w:tcW w:w="825" w:type="dxa"/>
            <w:vMerge w:val="continue"/>
            <w:shd w:val="clear" w:color="auto" w:fill="auto"/>
            <w:vAlign w:val="center"/>
          </w:tcPr>
          <w:p w14:paraId="51FC7467">
            <w:pPr>
              <w:jc w:val="center"/>
              <w:rPr>
                <w:rFonts w:ascii="宋体" w:hAnsi="宋体" w:eastAsia="宋体" w:cs="宋体"/>
                <w:color w:val="000000"/>
                <w:sz w:val="20"/>
                <w:szCs w:val="20"/>
              </w:rPr>
            </w:pPr>
          </w:p>
        </w:tc>
        <w:tc>
          <w:tcPr>
            <w:tcW w:w="672" w:type="dxa"/>
            <w:vMerge w:val="continue"/>
            <w:shd w:val="clear" w:color="auto" w:fill="auto"/>
            <w:noWrap/>
            <w:vAlign w:val="bottom"/>
          </w:tcPr>
          <w:p w14:paraId="5D0A7C17">
            <w:pPr>
              <w:rPr>
                <w:rFonts w:ascii="宋体" w:hAnsi="宋体" w:eastAsia="宋体" w:cs="宋体"/>
                <w:color w:val="000000"/>
                <w:sz w:val="22"/>
              </w:rPr>
            </w:pPr>
          </w:p>
        </w:tc>
      </w:tr>
      <w:tr w14:paraId="5E93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2E61F60C">
            <w:pPr>
              <w:jc w:val="center"/>
              <w:rPr>
                <w:rFonts w:ascii="宋体" w:hAnsi="宋体" w:eastAsia="宋体" w:cs="宋体"/>
                <w:color w:val="000000"/>
                <w:sz w:val="20"/>
                <w:szCs w:val="20"/>
              </w:rPr>
            </w:pPr>
          </w:p>
        </w:tc>
        <w:tc>
          <w:tcPr>
            <w:tcW w:w="825" w:type="dxa"/>
            <w:vMerge w:val="continue"/>
            <w:shd w:val="clear" w:color="auto" w:fill="auto"/>
            <w:vAlign w:val="center"/>
          </w:tcPr>
          <w:p w14:paraId="7F28F61C">
            <w:pPr>
              <w:jc w:val="left"/>
              <w:rPr>
                <w:rFonts w:ascii="宋体" w:hAnsi="宋体" w:eastAsia="宋体" w:cs="宋体"/>
                <w:color w:val="000000"/>
                <w:sz w:val="20"/>
                <w:szCs w:val="20"/>
              </w:rPr>
            </w:pPr>
          </w:p>
        </w:tc>
        <w:tc>
          <w:tcPr>
            <w:tcW w:w="5780" w:type="dxa"/>
            <w:shd w:val="clear" w:color="auto" w:fill="auto"/>
            <w:vAlign w:val="center"/>
          </w:tcPr>
          <w:p w14:paraId="61768283">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尺寸：410mm±</w:t>
            </w:r>
            <w:r>
              <w:rPr>
                <w:rFonts w:hint="eastAsia" w:ascii="宋体" w:hAnsi="宋体" w:eastAsia="宋体" w:cs="宋体"/>
                <w:sz w:val="21"/>
                <w:szCs w:val="21"/>
                <w:lang w:val="en-US" w:eastAsia="zh-CN"/>
              </w:rPr>
              <w:t>5</w:t>
            </w:r>
            <w:r>
              <w:rPr>
                <w:rFonts w:hint="eastAsia" w:ascii="宋体" w:hAnsi="宋体" w:eastAsia="宋体" w:cs="宋体"/>
                <w:sz w:val="21"/>
                <w:szCs w:val="21"/>
              </w:rPr>
              <w:t>mm×270mm±</w:t>
            </w:r>
            <w:r>
              <w:rPr>
                <w:rFonts w:hint="eastAsia" w:ascii="宋体" w:hAnsi="宋体" w:eastAsia="宋体" w:cs="宋体"/>
                <w:sz w:val="21"/>
                <w:szCs w:val="21"/>
                <w:lang w:val="en-US" w:eastAsia="zh-CN"/>
              </w:rPr>
              <w:t>5</w:t>
            </w:r>
            <w:r>
              <w:rPr>
                <w:rFonts w:hint="eastAsia" w:ascii="宋体" w:hAnsi="宋体" w:eastAsia="宋体" w:cs="宋体"/>
                <w:sz w:val="21"/>
                <w:szCs w:val="21"/>
              </w:rPr>
              <w:t>mm（需符合GB/T3976-2014《学校课桌椅功能尺寸及技术要求》</w:t>
            </w:r>
          </w:p>
        </w:tc>
        <w:tc>
          <w:tcPr>
            <w:tcW w:w="712" w:type="dxa"/>
            <w:vMerge w:val="continue"/>
            <w:shd w:val="clear" w:color="auto" w:fill="auto"/>
            <w:vAlign w:val="center"/>
          </w:tcPr>
          <w:p w14:paraId="1A79BCA0">
            <w:pPr>
              <w:jc w:val="center"/>
              <w:rPr>
                <w:rFonts w:ascii="宋体" w:hAnsi="宋体" w:eastAsia="宋体" w:cs="宋体"/>
                <w:color w:val="000000"/>
                <w:sz w:val="20"/>
                <w:szCs w:val="20"/>
              </w:rPr>
            </w:pPr>
          </w:p>
        </w:tc>
        <w:tc>
          <w:tcPr>
            <w:tcW w:w="825" w:type="dxa"/>
            <w:vMerge w:val="continue"/>
            <w:shd w:val="clear" w:color="auto" w:fill="auto"/>
            <w:vAlign w:val="center"/>
          </w:tcPr>
          <w:p w14:paraId="4B460238">
            <w:pPr>
              <w:jc w:val="center"/>
              <w:rPr>
                <w:rFonts w:ascii="宋体" w:hAnsi="宋体" w:eastAsia="宋体" w:cs="宋体"/>
                <w:color w:val="000000"/>
                <w:sz w:val="20"/>
                <w:szCs w:val="20"/>
              </w:rPr>
            </w:pPr>
          </w:p>
        </w:tc>
        <w:tc>
          <w:tcPr>
            <w:tcW w:w="672" w:type="dxa"/>
            <w:vMerge w:val="continue"/>
            <w:shd w:val="clear" w:color="auto" w:fill="auto"/>
            <w:noWrap/>
            <w:vAlign w:val="bottom"/>
          </w:tcPr>
          <w:p w14:paraId="57CFEBBE">
            <w:pPr>
              <w:rPr>
                <w:rFonts w:ascii="宋体" w:hAnsi="宋体" w:eastAsia="宋体" w:cs="宋体"/>
                <w:color w:val="000000"/>
                <w:sz w:val="22"/>
              </w:rPr>
            </w:pPr>
          </w:p>
        </w:tc>
      </w:tr>
      <w:tr w14:paraId="4E57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6C172ED">
            <w:pPr>
              <w:jc w:val="center"/>
              <w:rPr>
                <w:rFonts w:ascii="宋体" w:hAnsi="宋体" w:eastAsia="宋体" w:cs="宋体"/>
                <w:color w:val="000000"/>
                <w:sz w:val="20"/>
                <w:szCs w:val="20"/>
              </w:rPr>
            </w:pPr>
          </w:p>
        </w:tc>
        <w:tc>
          <w:tcPr>
            <w:tcW w:w="825" w:type="dxa"/>
            <w:vMerge w:val="continue"/>
            <w:shd w:val="clear" w:color="auto" w:fill="auto"/>
            <w:vAlign w:val="center"/>
          </w:tcPr>
          <w:p w14:paraId="2662CADC">
            <w:pPr>
              <w:jc w:val="left"/>
              <w:rPr>
                <w:rFonts w:ascii="宋体" w:hAnsi="宋体" w:eastAsia="宋体" w:cs="宋体"/>
                <w:color w:val="000000"/>
                <w:sz w:val="20"/>
                <w:szCs w:val="20"/>
              </w:rPr>
            </w:pPr>
          </w:p>
        </w:tc>
        <w:tc>
          <w:tcPr>
            <w:tcW w:w="5780" w:type="dxa"/>
            <w:shd w:val="clear" w:color="auto" w:fill="auto"/>
            <w:vAlign w:val="center"/>
          </w:tcPr>
          <w:p w14:paraId="370D2ED1">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样式：靠背与钢管结合方式，采用直插套管卡扣式紧固，无外露螺丝等紧固件。牢固稳定无摇晃、松动现象。靠背呈弯孤曲面，人体工程学舒适设计，设有散热孔透气，孔直径均小于5mm。</w:t>
            </w:r>
          </w:p>
        </w:tc>
        <w:tc>
          <w:tcPr>
            <w:tcW w:w="712" w:type="dxa"/>
            <w:vMerge w:val="continue"/>
            <w:shd w:val="clear" w:color="auto" w:fill="auto"/>
            <w:vAlign w:val="center"/>
          </w:tcPr>
          <w:p w14:paraId="0FC9DA0D">
            <w:pPr>
              <w:jc w:val="center"/>
              <w:rPr>
                <w:rFonts w:ascii="宋体" w:hAnsi="宋体" w:eastAsia="宋体" w:cs="宋体"/>
                <w:color w:val="000000"/>
                <w:sz w:val="20"/>
                <w:szCs w:val="20"/>
              </w:rPr>
            </w:pPr>
          </w:p>
        </w:tc>
        <w:tc>
          <w:tcPr>
            <w:tcW w:w="825" w:type="dxa"/>
            <w:vMerge w:val="continue"/>
            <w:shd w:val="clear" w:color="auto" w:fill="auto"/>
            <w:vAlign w:val="center"/>
          </w:tcPr>
          <w:p w14:paraId="4DBEDB32">
            <w:pPr>
              <w:jc w:val="center"/>
              <w:rPr>
                <w:rFonts w:ascii="宋体" w:hAnsi="宋体" w:eastAsia="宋体" w:cs="宋体"/>
                <w:color w:val="000000"/>
                <w:sz w:val="20"/>
                <w:szCs w:val="20"/>
              </w:rPr>
            </w:pPr>
          </w:p>
        </w:tc>
        <w:tc>
          <w:tcPr>
            <w:tcW w:w="672" w:type="dxa"/>
            <w:vMerge w:val="continue"/>
            <w:shd w:val="clear" w:color="auto" w:fill="auto"/>
            <w:noWrap/>
            <w:vAlign w:val="bottom"/>
          </w:tcPr>
          <w:p w14:paraId="2DEBE907">
            <w:pPr>
              <w:rPr>
                <w:rFonts w:ascii="宋体" w:hAnsi="宋体" w:eastAsia="宋体" w:cs="宋体"/>
                <w:color w:val="000000"/>
                <w:sz w:val="22"/>
              </w:rPr>
            </w:pPr>
          </w:p>
        </w:tc>
      </w:tr>
      <w:tr w14:paraId="5A75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DC4D4B6">
            <w:pPr>
              <w:jc w:val="center"/>
              <w:rPr>
                <w:rFonts w:ascii="宋体" w:hAnsi="宋体" w:eastAsia="宋体" w:cs="宋体"/>
                <w:color w:val="000000"/>
                <w:sz w:val="20"/>
                <w:szCs w:val="20"/>
              </w:rPr>
            </w:pPr>
          </w:p>
        </w:tc>
        <w:tc>
          <w:tcPr>
            <w:tcW w:w="825" w:type="dxa"/>
            <w:vMerge w:val="continue"/>
            <w:shd w:val="clear" w:color="auto" w:fill="auto"/>
            <w:vAlign w:val="center"/>
          </w:tcPr>
          <w:p w14:paraId="5320FC18">
            <w:pPr>
              <w:jc w:val="left"/>
              <w:rPr>
                <w:rFonts w:ascii="宋体" w:hAnsi="宋体" w:eastAsia="宋体" w:cs="宋体"/>
                <w:color w:val="000000"/>
                <w:sz w:val="20"/>
                <w:szCs w:val="20"/>
              </w:rPr>
            </w:pPr>
          </w:p>
        </w:tc>
        <w:tc>
          <w:tcPr>
            <w:tcW w:w="5780" w:type="dxa"/>
            <w:shd w:val="clear" w:color="auto" w:fill="auto"/>
            <w:vAlign w:val="center"/>
          </w:tcPr>
          <w:p w14:paraId="3374047A">
            <w:pPr>
              <w:numPr>
                <w:ilvl w:val="0"/>
                <w:numId w:val="0"/>
              </w:numPr>
              <w:spacing w:line="240" w:lineRule="auto"/>
              <w:ind w:left="0" w:leftChars="0" w:firstLine="0" w:firstLineChars="0"/>
              <w:jc w:val="left"/>
              <w:rPr>
                <w:rFonts w:ascii="宋体" w:hAnsi="宋体" w:eastAsia="宋体" w:cs="宋体"/>
                <w:color w:val="000000"/>
                <w:sz w:val="20"/>
                <w:szCs w:val="20"/>
              </w:rPr>
            </w:pPr>
            <w:r>
              <w:rPr>
                <w:rFonts w:hint="eastAsia" w:ascii="宋体" w:hAnsi="宋体" w:eastAsia="宋体" w:cs="宋体"/>
                <w:b/>
                <w:bCs/>
                <w:sz w:val="21"/>
                <w:szCs w:val="21"/>
              </w:rPr>
              <w:t>B.座垫</w:t>
            </w:r>
          </w:p>
        </w:tc>
        <w:tc>
          <w:tcPr>
            <w:tcW w:w="712" w:type="dxa"/>
            <w:vMerge w:val="continue"/>
            <w:shd w:val="clear" w:color="auto" w:fill="auto"/>
            <w:vAlign w:val="center"/>
          </w:tcPr>
          <w:p w14:paraId="04DC9B69">
            <w:pPr>
              <w:jc w:val="center"/>
              <w:rPr>
                <w:rFonts w:ascii="宋体" w:hAnsi="宋体" w:eastAsia="宋体" w:cs="宋体"/>
                <w:color w:val="000000"/>
                <w:sz w:val="20"/>
                <w:szCs w:val="20"/>
              </w:rPr>
            </w:pPr>
          </w:p>
        </w:tc>
        <w:tc>
          <w:tcPr>
            <w:tcW w:w="825" w:type="dxa"/>
            <w:vMerge w:val="continue"/>
            <w:shd w:val="clear" w:color="auto" w:fill="auto"/>
            <w:vAlign w:val="center"/>
          </w:tcPr>
          <w:p w14:paraId="1E42AB84">
            <w:pPr>
              <w:jc w:val="center"/>
              <w:rPr>
                <w:rFonts w:ascii="宋体" w:hAnsi="宋体" w:eastAsia="宋体" w:cs="宋体"/>
                <w:color w:val="000000"/>
                <w:sz w:val="20"/>
                <w:szCs w:val="20"/>
              </w:rPr>
            </w:pPr>
          </w:p>
        </w:tc>
        <w:tc>
          <w:tcPr>
            <w:tcW w:w="672" w:type="dxa"/>
            <w:vMerge w:val="continue"/>
            <w:shd w:val="clear" w:color="auto" w:fill="auto"/>
            <w:noWrap/>
            <w:vAlign w:val="bottom"/>
          </w:tcPr>
          <w:p w14:paraId="7EBAAC68">
            <w:pPr>
              <w:rPr>
                <w:rFonts w:ascii="宋体" w:hAnsi="宋体" w:eastAsia="宋体" w:cs="宋体"/>
                <w:color w:val="000000"/>
                <w:sz w:val="22"/>
              </w:rPr>
            </w:pPr>
          </w:p>
        </w:tc>
      </w:tr>
      <w:tr w14:paraId="633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A704926">
            <w:pPr>
              <w:jc w:val="center"/>
              <w:rPr>
                <w:rFonts w:ascii="宋体" w:hAnsi="宋体" w:eastAsia="宋体" w:cs="宋体"/>
                <w:color w:val="000000"/>
                <w:sz w:val="20"/>
                <w:szCs w:val="20"/>
              </w:rPr>
            </w:pPr>
          </w:p>
        </w:tc>
        <w:tc>
          <w:tcPr>
            <w:tcW w:w="825" w:type="dxa"/>
            <w:vMerge w:val="continue"/>
            <w:shd w:val="clear" w:color="auto" w:fill="auto"/>
            <w:vAlign w:val="center"/>
          </w:tcPr>
          <w:p w14:paraId="20B32028">
            <w:pPr>
              <w:jc w:val="left"/>
              <w:rPr>
                <w:rFonts w:ascii="宋体" w:hAnsi="宋体" w:eastAsia="宋体" w:cs="宋体"/>
                <w:color w:val="000000"/>
                <w:sz w:val="20"/>
                <w:szCs w:val="20"/>
              </w:rPr>
            </w:pPr>
          </w:p>
        </w:tc>
        <w:tc>
          <w:tcPr>
            <w:tcW w:w="5780" w:type="dxa"/>
            <w:shd w:val="clear" w:color="auto" w:fill="auto"/>
            <w:vAlign w:val="center"/>
          </w:tcPr>
          <w:p w14:paraId="12E560D9">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lang w:val="en-US" w:eastAsia="zh-CN"/>
              </w:rPr>
              <w:t>材质：PP塑料（塑胶）</w:t>
            </w:r>
          </w:p>
        </w:tc>
        <w:tc>
          <w:tcPr>
            <w:tcW w:w="712" w:type="dxa"/>
            <w:vMerge w:val="continue"/>
            <w:shd w:val="clear" w:color="auto" w:fill="auto"/>
            <w:vAlign w:val="center"/>
          </w:tcPr>
          <w:p w14:paraId="04C10ECC">
            <w:pPr>
              <w:jc w:val="center"/>
              <w:rPr>
                <w:rFonts w:ascii="宋体" w:hAnsi="宋体" w:eastAsia="宋体" w:cs="宋体"/>
                <w:color w:val="000000"/>
                <w:sz w:val="20"/>
                <w:szCs w:val="20"/>
              </w:rPr>
            </w:pPr>
          </w:p>
        </w:tc>
        <w:tc>
          <w:tcPr>
            <w:tcW w:w="825" w:type="dxa"/>
            <w:vMerge w:val="continue"/>
            <w:shd w:val="clear" w:color="auto" w:fill="auto"/>
            <w:vAlign w:val="center"/>
          </w:tcPr>
          <w:p w14:paraId="7D6150CB">
            <w:pPr>
              <w:jc w:val="center"/>
              <w:rPr>
                <w:rFonts w:ascii="宋体" w:hAnsi="宋体" w:eastAsia="宋体" w:cs="宋体"/>
                <w:color w:val="000000"/>
                <w:sz w:val="20"/>
                <w:szCs w:val="20"/>
              </w:rPr>
            </w:pPr>
          </w:p>
        </w:tc>
        <w:tc>
          <w:tcPr>
            <w:tcW w:w="672" w:type="dxa"/>
            <w:vMerge w:val="continue"/>
            <w:shd w:val="clear" w:color="auto" w:fill="auto"/>
            <w:noWrap/>
            <w:vAlign w:val="bottom"/>
          </w:tcPr>
          <w:p w14:paraId="19656DCA">
            <w:pPr>
              <w:rPr>
                <w:rFonts w:ascii="宋体" w:hAnsi="宋体" w:eastAsia="宋体" w:cs="宋体"/>
                <w:color w:val="000000"/>
                <w:sz w:val="22"/>
              </w:rPr>
            </w:pPr>
          </w:p>
        </w:tc>
      </w:tr>
      <w:tr w14:paraId="5ACB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9318093">
            <w:pPr>
              <w:jc w:val="center"/>
              <w:rPr>
                <w:rFonts w:ascii="宋体" w:hAnsi="宋体" w:eastAsia="宋体" w:cs="宋体"/>
                <w:color w:val="000000"/>
                <w:sz w:val="20"/>
                <w:szCs w:val="20"/>
              </w:rPr>
            </w:pPr>
          </w:p>
        </w:tc>
        <w:tc>
          <w:tcPr>
            <w:tcW w:w="825" w:type="dxa"/>
            <w:vMerge w:val="continue"/>
            <w:shd w:val="clear" w:color="auto" w:fill="auto"/>
            <w:vAlign w:val="center"/>
          </w:tcPr>
          <w:p w14:paraId="3BA5E1BF">
            <w:pPr>
              <w:jc w:val="left"/>
              <w:rPr>
                <w:rFonts w:ascii="宋体" w:hAnsi="宋体" w:eastAsia="宋体" w:cs="宋体"/>
                <w:color w:val="000000"/>
                <w:sz w:val="20"/>
                <w:szCs w:val="20"/>
              </w:rPr>
            </w:pPr>
          </w:p>
        </w:tc>
        <w:tc>
          <w:tcPr>
            <w:tcW w:w="5780" w:type="dxa"/>
            <w:shd w:val="clear" w:color="auto" w:fill="auto"/>
            <w:vAlign w:val="center"/>
          </w:tcPr>
          <w:p w14:paraId="2DE0A551">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尺寸：400mm</w:t>
            </w:r>
            <w:r>
              <w:rPr>
                <w:rFonts w:hint="eastAsia" w:ascii="宋体" w:hAnsi="宋体" w:eastAsia="宋体" w:cs="宋体"/>
                <w:sz w:val="21"/>
                <w:szCs w:val="21"/>
                <w:lang w:eastAsia="zh-CN"/>
              </w:rPr>
              <w:t>±5mm</w:t>
            </w:r>
            <w:r>
              <w:rPr>
                <w:rFonts w:hint="eastAsia" w:ascii="宋体" w:hAnsi="宋体" w:eastAsia="宋体" w:cs="宋体"/>
                <w:sz w:val="21"/>
                <w:szCs w:val="21"/>
              </w:rPr>
              <w:t>×414mm</w:t>
            </w:r>
            <w:r>
              <w:rPr>
                <w:rFonts w:hint="eastAsia" w:ascii="宋体" w:hAnsi="宋体" w:eastAsia="宋体" w:cs="宋体"/>
                <w:sz w:val="21"/>
                <w:szCs w:val="21"/>
                <w:lang w:eastAsia="zh-CN"/>
              </w:rPr>
              <w:t>±5mm</w:t>
            </w:r>
            <w:r>
              <w:rPr>
                <w:rFonts w:hint="eastAsia" w:ascii="宋体" w:hAnsi="宋体" w:eastAsia="宋体" w:cs="宋体"/>
                <w:sz w:val="21"/>
                <w:szCs w:val="21"/>
              </w:rPr>
              <w:t>（</w:t>
            </w:r>
            <w:r>
              <w:rPr>
                <w:rFonts w:hint="eastAsia" w:ascii="宋体" w:hAnsi="宋体" w:eastAsia="宋体" w:cs="宋体"/>
                <w:sz w:val="21"/>
                <w:szCs w:val="21"/>
                <w:lang w:val="en-US" w:eastAsia="zh-CN"/>
              </w:rPr>
              <w:t>需</w:t>
            </w:r>
            <w:r>
              <w:rPr>
                <w:rFonts w:hint="eastAsia" w:ascii="宋体" w:hAnsi="宋体" w:eastAsia="宋体" w:cs="宋体"/>
                <w:sz w:val="21"/>
                <w:szCs w:val="21"/>
              </w:rPr>
              <w:t>符合GB/T3976-2014《学校课桌椅功能尺寸及技术要求》）</w:t>
            </w:r>
          </w:p>
        </w:tc>
        <w:tc>
          <w:tcPr>
            <w:tcW w:w="712" w:type="dxa"/>
            <w:vMerge w:val="continue"/>
            <w:shd w:val="clear" w:color="auto" w:fill="auto"/>
            <w:vAlign w:val="center"/>
          </w:tcPr>
          <w:p w14:paraId="00DB5E0B">
            <w:pPr>
              <w:jc w:val="center"/>
              <w:rPr>
                <w:rFonts w:ascii="宋体" w:hAnsi="宋体" w:eastAsia="宋体" w:cs="宋体"/>
                <w:color w:val="000000"/>
                <w:sz w:val="20"/>
                <w:szCs w:val="20"/>
              </w:rPr>
            </w:pPr>
          </w:p>
        </w:tc>
        <w:tc>
          <w:tcPr>
            <w:tcW w:w="825" w:type="dxa"/>
            <w:vMerge w:val="continue"/>
            <w:shd w:val="clear" w:color="auto" w:fill="auto"/>
            <w:vAlign w:val="center"/>
          </w:tcPr>
          <w:p w14:paraId="49E1AC07">
            <w:pPr>
              <w:jc w:val="center"/>
              <w:rPr>
                <w:rFonts w:ascii="宋体" w:hAnsi="宋体" w:eastAsia="宋体" w:cs="宋体"/>
                <w:color w:val="000000"/>
                <w:sz w:val="20"/>
                <w:szCs w:val="20"/>
              </w:rPr>
            </w:pPr>
          </w:p>
        </w:tc>
        <w:tc>
          <w:tcPr>
            <w:tcW w:w="672" w:type="dxa"/>
            <w:vMerge w:val="continue"/>
            <w:shd w:val="clear" w:color="auto" w:fill="auto"/>
            <w:noWrap/>
            <w:vAlign w:val="bottom"/>
          </w:tcPr>
          <w:p w14:paraId="79075DE9">
            <w:pPr>
              <w:rPr>
                <w:rFonts w:ascii="宋体" w:hAnsi="宋体" w:eastAsia="宋体" w:cs="宋体"/>
                <w:color w:val="000000"/>
                <w:sz w:val="22"/>
              </w:rPr>
            </w:pPr>
          </w:p>
        </w:tc>
      </w:tr>
      <w:tr w14:paraId="2998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F5F89E9">
            <w:pPr>
              <w:jc w:val="center"/>
              <w:rPr>
                <w:rFonts w:ascii="宋体" w:hAnsi="宋体" w:eastAsia="宋体" w:cs="宋体"/>
                <w:color w:val="000000"/>
                <w:sz w:val="20"/>
                <w:szCs w:val="20"/>
              </w:rPr>
            </w:pPr>
          </w:p>
        </w:tc>
        <w:tc>
          <w:tcPr>
            <w:tcW w:w="825" w:type="dxa"/>
            <w:vMerge w:val="continue"/>
            <w:shd w:val="clear" w:color="auto" w:fill="auto"/>
            <w:vAlign w:val="center"/>
          </w:tcPr>
          <w:p w14:paraId="1385CB27">
            <w:pPr>
              <w:jc w:val="left"/>
              <w:rPr>
                <w:rFonts w:ascii="宋体" w:hAnsi="宋体" w:eastAsia="宋体" w:cs="宋体"/>
                <w:color w:val="000000"/>
                <w:sz w:val="20"/>
                <w:szCs w:val="20"/>
              </w:rPr>
            </w:pPr>
          </w:p>
        </w:tc>
        <w:tc>
          <w:tcPr>
            <w:tcW w:w="5780" w:type="dxa"/>
            <w:shd w:val="clear" w:color="auto" w:fill="auto"/>
            <w:vAlign w:val="center"/>
          </w:tcPr>
          <w:p w14:paraId="4BA4B353">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样式：座垫前端有两处下凹设计，坐时腿部更服贴，达到久坐无压迫，更具舒适感；座垫深部有内</w:t>
            </w:r>
            <w:r>
              <w:rPr>
                <w:rFonts w:hint="eastAsia" w:ascii="宋体" w:hAnsi="宋体" w:eastAsia="宋体" w:cs="宋体"/>
                <w:sz w:val="21"/>
                <w:szCs w:val="21"/>
                <w:lang w:val="en-US" w:eastAsia="zh-CN"/>
              </w:rPr>
              <w:t>陷</w:t>
            </w:r>
            <w:r>
              <w:rPr>
                <w:rFonts w:hint="eastAsia" w:ascii="宋体" w:hAnsi="宋体" w:eastAsia="宋体" w:cs="宋体"/>
                <w:sz w:val="21"/>
                <w:szCs w:val="21"/>
              </w:rPr>
              <w:t>设计，坐时包覆臀部，具有捧托感，舒适度佳，久坐不劳累。座垫曲面有散热孔设计，利于臀部透气散热，孔直径均小于5mm。</w:t>
            </w:r>
          </w:p>
        </w:tc>
        <w:tc>
          <w:tcPr>
            <w:tcW w:w="712" w:type="dxa"/>
            <w:vMerge w:val="continue"/>
            <w:shd w:val="clear" w:color="auto" w:fill="auto"/>
            <w:vAlign w:val="center"/>
          </w:tcPr>
          <w:p w14:paraId="38603B91">
            <w:pPr>
              <w:jc w:val="center"/>
              <w:rPr>
                <w:rFonts w:ascii="宋体" w:hAnsi="宋体" w:eastAsia="宋体" w:cs="宋体"/>
                <w:color w:val="000000"/>
                <w:sz w:val="20"/>
                <w:szCs w:val="20"/>
              </w:rPr>
            </w:pPr>
          </w:p>
        </w:tc>
        <w:tc>
          <w:tcPr>
            <w:tcW w:w="825" w:type="dxa"/>
            <w:vMerge w:val="continue"/>
            <w:shd w:val="clear" w:color="auto" w:fill="auto"/>
            <w:vAlign w:val="center"/>
          </w:tcPr>
          <w:p w14:paraId="7039E7CD">
            <w:pPr>
              <w:jc w:val="center"/>
              <w:rPr>
                <w:rFonts w:ascii="宋体" w:hAnsi="宋体" w:eastAsia="宋体" w:cs="宋体"/>
                <w:color w:val="000000"/>
                <w:sz w:val="20"/>
                <w:szCs w:val="20"/>
              </w:rPr>
            </w:pPr>
          </w:p>
        </w:tc>
        <w:tc>
          <w:tcPr>
            <w:tcW w:w="672" w:type="dxa"/>
            <w:vMerge w:val="continue"/>
            <w:shd w:val="clear" w:color="auto" w:fill="auto"/>
            <w:noWrap/>
            <w:vAlign w:val="bottom"/>
          </w:tcPr>
          <w:p w14:paraId="2E72E664">
            <w:pPr>
              <w:rPr>
                <w:rFonts w:ascii="宋体" w:hAnsi="宋体" w:eastAsia="宋体" w:cs="宋体"/>
                <w:color w:val="000000"/>
                <w:sz w:val="22"/>
              </w:rPr>
            </w:pPr>
          </w:p>
        </w:tc>
      </w:tr>
      <w:tr w14:paraId="3339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3F8FF7E4">
            <w:pPr>
              <w:jc w:val="center"/>
              <w:rPr>
                <w:rFonts w:ascii="宋体" w:hAnsi="宋体" w:eastAsia="宋体" w:cs="宋体"/>
                <w:color w:val="000000"/>
                <w:sz w:val="20"/>
                <w:szCs w:val="20"/>
              </w:rPr>
            </w:pPr>
          </w:p>
        </w:tc>
        <w:tc>
          <w:tcPr>
            <w:tcW w:w="825" w:type="dxa"/>
            <w:vMerge w:val="continue"/>
            <w:shd w:val="clear" w:color="auto" w:fill="auto"/>
            <w:vAlign w:val="center"/>
          </w:tcPr>
          <w:p w14:paraId="0791495E">
            <w:pPr>
              <w:jc w:val="left"/>
              <w:rPr>
                <w:rFonts w:ascii="宋体" w:hAnsi="宋体" w:eastAsia="宋体" w:cs="宋体"/>
                <w:color w:val="000000"/>
                <w:sz w:val="20"/>
                <w:szCs w:val="20"/>
              </w:rPr>
            </w:pPr>
          </w:p>
        </w:tc>
        <w:tc>
          <w:tcPr>
            <w:tcW w:w="5780" w:type="dxa"/>
            <w:shd w:val="clear" w:color="auto" w:fill="auto"/>
            <w:vAlign w:val="center"/>
          </w:tcPr>
          <w:p w14:paraId="642D704C">
            <w:pPr>
              <w:spacing w:line="240" w:lineRule="auto"/>
              <w:jc w:val="left"/>
              <w:rPr>
                <w:rFonts w:ascii="宋体" w:hAnsi="宋体" w:eastAsia="宋体" w:cs="宋体"/>
                <w:color w:val="000000"/>
                <w:sz w:val="20"/>
                <w:szCs w:val="20"/>
              </w:rPr>
            </w:pPr>
            <w:r>
              <w:rPr>
                <w:rFonts w:hint="eastAsia" w:ascii="宋体" w:hAnsi="宋体" w:eastAsia="宋体" w:cs="宋体"/>
                <w:b/>
                <w:bCs/>
                <w:sz w:val="21"/>
                <w:szCs w:val="21"/>
                <w:lang w:val="en-US" w:eastAsia="zh-CN"/>
              </w:rPr>
              <w:t>C.椅腿钢架</w:t>
            </w:r>
          </w:p>
        </w:tc>
        <w:tc>
          <w:tcPr>
            <w:tcW w:w="712" w:type="dxa"/>
            <w:vMerge w:val="continue"/>
            <w:shd w:val="clear" w:color="auto" w:fill="auto"/>
            <w:vAlign w:val="center"/>
          </w:tcPr>
          <w:p w14:paraId="67428DBC">
            <w:pPr>
              <w:jc w:val="center"/>
              <w:rPr>
                <w:rFonts w:ascii="宋体" w:hAnsi="宋体" w:eastAsia="宋体" w:cs="宋体"/>
                <w:color w:val="000000"/>
                <w:sz w:val="20"/>
                <w:szCs w:val="20"/>
              </w:rPr>
            </w:pPr>
          </w:p>
        </w:tc>
        <w:tc>
          <w:tcPr>
            <w:tcW w:w="825" w:type="dxa"/>
            <w:vMerge w:val="continue"/>
            <w:shd w:val="clear" w:color="auto" w:fill="auto"/>
            <w:vAlign w:val="center"/>
          </w:tcPr>
          <w:p w14:paraId="31839413">
            <w:pPr>
              <w:jc w:val="center"/>
              <w:rPr>
                <w:rFonts w:ascii="宋体" w:hAnsi="宋体" w:eastAsia="宋体" w:cs="宋体"/>
                <w:color w:val="000000"/>
                <w:sz w:val="20"/>
                <w:szCs w:val="20"/>
              </w:rPr>
            </w:pPr>
          </w:p>
        </w:tc>
        <w:tc>
          <w:tcPr>
            <w:tcW w:w="672" w:type="dxa"/>
            <w:vMerge w:val="continue"/>
            <w:shd w:val="clear" w:color="auto" w:fill="auto"/>
            <w:noWrap/>
            <w:vAlign w:val="bottom"/>
          </w:tcPr>
          <w:p w14:paraId="368BDE05">
            <w:pPr>
              <w:rPr>
                <w:rFonts w:ascii="宋体" w:hAnsi="宋体" w:eastAsia="宋体" w:cs="宋体"/>
                <w:color w:val="000000"/>
                <w:sz w:val="22"/>
              </w:rPr>
            </w:pPr>
          </w:p>
        </w:tc>
      </w:tr>
      <w:tr w14:paraId="6880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26CFFAF4">
            <w:pPr>
              <w:jc w:val="center"/>
              <w:rPr>
                <w:rFonts w:ascii="宋体" w:hAnsi="宋体" w:eastAsia="宋体" w:cs="宋体"/>
                <w:color w:val="000000"/>
                <w:sz w:val="20"/>
                <w:szCs w:val="20"/>
              </w:rPr>
            </w:pPr>
          </w:p>
        </w:tc>
        <w:tc>
          <w:tcPr>
            <w:tcW w:w="825" w:type="dxa"/>
            <w:vMerge w:val="continue"/>
            <w:shd w:val="clear" w:color="auto" w:fill="auto"/>
            <w:vAlign w:val="center"/>
          </w:tcPr>
          <w:p w14:paraId="7DC7A8FA">
            <w:pPr>
              <w:jc w:val="left"/>
              <w:rPr>
                <w:rFonts w:ascii="宋体" w:hAnsi="宋体" w:eastAsia="宋体" w:cs="宋体"/>
                <w:color w:val="000000"/>
                <w:sz w:val="20"/>
                <w:szCs w:val="20"/>
              </w:rPr>
            </w:pPr>
          </w:p>
        </w:tc>
        <w:tc>
          <w:tcPr>
            <w:tcW w:w="5780" w:type="dxa"/>
            <w:shd w:val="clear" w:color="auto" w:fill="auto"/>
            <w:vAlign w:val="center"/>
          </w:tcPr>
          <w:p w14:paraId="7976E4B2">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 xml:space="preserve">材质及规格: </w:t>
            </w:r>
            <w:r>
              <w:rPr>
                <w:rFonts w:hint="eastAsia" w:ascii="宋体" w:hAnsi="宋体" w:eastAsia="宋体" w:cs="宋体"/>
                <w:sz w:val="21"/>
                <w:szCs w:val="21"/>
                <w:lang w:val="en-US" w:eastAsia="zh-CN"/>
              </w:rPr>
              <w:t>采用</w:t>
            </w:r>
            <w:r>
              <w:rPr>
                <w:rFonts w:hint="eastAsia" w:ascii="宋体" w:hAnsi="宋体" w:eastAsia="宋体" w:cs="宋体"/>
                <w:sz w:val="21"/>
                <w:szCs w:val="21"/>
              </w:rPr>
              <w:t>椭圆形钢管，主要支撑部件（厚度不小于1.5mm）。椅腿钢架贴地脚管采用30mm±1mm×60mm±1mm壁厚1.5mm的椭圆形白皮钢管；椅腿部横档采用20mm±1mm×40mm±1mm，壁厚1.2mm的椭圆形白皮钢管；椅脚上部固定立管采用30mm±1mm×60mm±1mm，壁厚1.5mm的椭圆形白皮钢管；椅脚上部活动立管采用23mm±1mm×50mm±1mm，壁厚1.5mm的椭圆形白皮钢管；靠背支撑弯管采用16.5 mm±1mm×34 mm±1mm，壁厚1.2mm的椭圆形白皮钢管；椅座垫下设补强管采用16.5 mm±1mm×34 mm±1mm，壁厚1.2mm的椭圆形白皮钢管。</w:t>
            </w:r>
          </w:p>
        </w:tc>
        <w:tc>
          <w:tcPr>
            <w:tcW w:w="712" w:type="dxa"/>
            <w:vMerge w:val="continue"/>
            <w:shd w:val="clear" w:color="auto" w:fill="auto"/>
            <w:vAlign w:val="center"/>
          </w:tcPr>
          <w:p w14:paraId="6928B723">
            <w:pPr>
              <w:jc w:val="center"/>
              <w:rPr>
                <w:rFonts w:ascii="宋体" w:hAnsi="宋体" w:eastAsia="宋体" w:cs="宋体"/>
                <w:color w:val="000000"/>
                <w:sz w:val="20"/>
                <w:szCs w:val="20"/>
              </w:rPr>
            </w:pPr>
          </w:p>
        </w:tc>
        <w:tc>
          <w:tcPr>
            <w:tcW w:w="825" w:type="dxa"/>
            <w:vMerge w:val="continue"/>
            <w:shd w:val="clear" w:color="auto" w:fill="auto"/>
            <w:vAlign w:val="center"/>
          </w:tcPr>
          <w:p w14:paraId="7736CD19">
            <w:pPr>
              <w:jc w:val="center"/>
              <w:rPr>
                <w:rFonts w:ascii="宋体" w:hAnsi="宋体" w:eastAsia="宋体" w:cs="宋体"/>
                <w:color w:val="000000"/>
                <w:sz w:val="20"/>
                <w:szCs w:val="20"/>
              </w:rPr>
            </w:pPr>
          </w:p>
        </w:tc>
        <w:tc>
          <w:tcPr>
            <w:tcW w:w="672" w:type="dxa"/>
            <w:vMerge w:val="continue"/>
            <w:shd w:val="clear" w:color="auto" w:fill="auto"/>
            <w:noWrap/>
            <w:vAlign w:val="bottom"/>
          </w:tcPr>
          <w:p w14:paraId="1ED782AA">
            <w:pPr>
              <w:rPr>
                <w:rFonts w:ascii="宋体" w:hAnsi="宋体" w:eastAsia="宋体" w:cs="宋体"/>
                <w:color w:val="000000"/>
                <w:sz w:val="22"/>
              </w:rPr>
            </w:pPr>
          </w:p>
        </w:tc>
      </w:tr>
      <w:tr w14:paraId="080E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52F0A16">
            <w:pPr>
              <w:jc w:val="center"/>
              <w:rPr>
                <w:rFonts w:ascii="宋体" w:hAnsi="宋体" w:eastAsia="宋体" w:cs="宋体"/>
                <w:color w:val="000000"/>
                <w:sz w:val="20"/>
                <w:szCs w:val="20"/>
              </w:rPr>
            </w:pPr>
          </w:p>
        </w:tc>
        <w:tc>
          <w:tcPr>
            <w:tcW w:w="825" w:type="dxa"/>
            <w:vMerge w:val="continue"/>
            <w:shd w:val="clear" w:color="auto" w:fill="auto"/>
            <w:vAlign w:val="center"/>
          </w:tcPr>
          <w:p w14:paraId="7C5C5338">
            <w:pPr>
              <w:jc w:val="left"/>
              <w:rPr>
                <w:rFonts w:ascii="宋体" w:hAnsi="宋体" w:eastAsia="宋体" w:cs="宋体"/>
                <w:color w:val="000000"/>
                <w:sz w:val="20"/>
                <w:szCs w:val="20"/>
              </w:rPr>
            </w:pPr>
          </w:p>
        </w:tc>
        <w:tc>
          <w:tcPr>
            <w:tcW w:w="5780" w:type="dxa"/>
            <w:shd w:val="clear" w:color="auto" w:fill="auto"/>
            <w:vAlign w:val="center"/>
          </w:tcPr>
          <w:p w14:paraId="36E9A5CC">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工艺：采用上下安全升降结构，可调节区间（调节行程）不少于7cm，符合(GB/T3976-2014) )学生课椅标准（具体实际要求高度以学校要求为准）。升降刻度尺采用激光镭射打印。</w:t>
            </w:r>
          </w:p>
        </w:tc>
        <w:tc>
          <w:tcPr>
            <w:tcW w:w="712" w:type="dxa"/>
            <w:vMerge w:val="continue"/>
            <w:shd w:val="clear" w:color="auto" w:fill="auto"/>
            <w:vAlign w:val="center"/>
          </w:tcPr>
          <w:p w14:paraId="172306CF">
            <w:pPr>
              <w:jc w:val="center"/>
              <w:rPr>
                <w:rFonts w:ascii="宋体" w:hAnsi="宋体" w:eastAsia="宋体" w:cs="宋体"/>
                <w:color w:val="000000"/>
                <w:sz w:val="20"/>
                <w:szCs w:val="20"/>
              </w:rPr>
            </w:pPr>
          </w:p>
        </w:tc>
        <w:tc>
          <w:tcPr>
            <w:tcW w:w="825" w:type="dxa"/>
            <w:vMerge w:val="continue"/>
            <w:shd w:val="clear" w:color="auto" w:fill="auto"/>
            <w:vAlign w:val="center"/>
          </w:tcPr>
          <w:p w14:paraId="422AEEC3">
            <w:pPr>
              <w:jc w:val="center"/>
              <w:rPr>
                <w:rFonts w:ascii="宋体" w:hAnsi="宋体" w:eastAsia="宋体" w:cs="宋体"/>
                <w:color w:val="000000"/>
                <w:sz w:val="20"/>
                <w:szCs w:val="20"/>
              </w:rPr>
            </w:pPr>
          </w:p>
        </w:tc>
        <w:tc>
          <w:tcPr>
            <w:tcW w:w="672" w:type="dxa"/>
            <w:vMerge w:val="continue"/>
            <w:shd w:val="clear" w:color="auto" w:fill="auto"/>
            <w:noWrap/>
            <w:vAlign w:val="bottom"/>
          </w:tcPr>
          <w:p w14:paraId="45187BB6">
            <w:pPr>
              <w:rPr>
                <w:rFonts w:ascii="宋体" w:hAnsi="宋体" w:eastAsia="宋体" w:cs="宋体"/>
                <w:color w:val="000000"/>
                <w:sz w:val="22"/>
              </w:rPr>
            </w:pPr>
          </w:p>
        </w:tc>
      </w:tr>
      <w:tr w14:paraId="4F3B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57124D8">
            <w:pPr>
              <w:jc w:val="center"/>
              <w:rPr>
                <w:rFonts w:ascii="宋体" w:hAnsi="宋体" w:eastAsia="宋体" w:cs="宋体"/>
                <w:color w:val="000000"/>
                <w:sz w:val="20"/>
                <w:szCs w:val="20"/>
              </w:rPr>
            </w:pPr>
          </w:p>
        </w:tc>
        <w:tc>
          <w:tcPr>
            <w:tcW w:w="825" w:type="dxa"/>
            <w:vMerge w:val="continue"/>
            <w:shd w:val="clear" w:color="auto" w:fill="auto"/>
            <w:vAlign w:val="center"/>
          </w:tcPr>
          <w:p w14:paraId="442F2569">
            <w:pPr>
              <w:jc w:val="left"/>
              <w:rPr>
                <w:rFonts w:ascii="宋体" w:hAnsi="宋体" w:eastAsia="宋体" w:cs="宋体"/>
                <w:color w:val="000000"/>
                <w:sz w:val="20"/>
                <w:szCs w:val="20"/>
              </w:rPr>
            </w:pPr>
          </w:p>
        </w:tc>
        <w:tc>
          <w:tcPr>
            <w:tcW w:w="5780" w:type="dxa"/>
            <w:shd w:val="clear" w:color="auto" w:fill="auto"/>
            <w:vAlign w:val="center"/>
          </w:tcPr>
          <w:p w14:paraId="70A9B39D">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技术形状：底坐采用安全牢固的T字（或工字或Z字)组合焊接外型结构，内配隐藏式上下升降结构，合理、顺畅、安全。</w:t>
            </w:r>
          </w:p>
        </w:tc>
        <w:tc>
          <w:tcPr>
            <w:tcW w:w="712" w:type="dxa"/>
            <w:vMerge w:val="continue"/>
            <w:shd w:val="clear" w:color="auto" w:fill="auto"/>
            <w:vAlign w:val="center"/>
          </w:tcPr>
          <w:p w14:paraId="2AD05A37">
            <w:pPr>
              <w:jc w:val="center"/>
              <w:rPr>
                <w:rFonts w:ascii="宋体" w:hAnsi="宋体" w:eastAsia="宋体" w:cs="宋体"/>
                <w:color w:val="000000"/>
                <w:sz w:val="20"/>
                <w:szCs w:val="20"/>
              </w:rPr>
            </w:pPr>
          </w:p>
        </w:tc>
        <w:tc>
          <w:tcPr>
            <w:tcW w:w="825" w:type="dxa"/>
            <w:vMerge w:val="continue"/>
            <w:shd w:val="clear" w:color="auto" w:fill="auto"/>
            <w:vAlign w:val="center"/>
          </w:tcPr>
          <w:p w14:paraId="1F86C519">
            <w:pPr>
              <w:jc w:val="center"/>
              <w:rPr>
                <w:rFonts w:ascii="宋体" w:hAnsi="宋体" w:eastAsia="宋体" w:cs="宋体"/>
                <w:color w:val="000000"/>
                <w:sz w:val="20"/>
                <w:szCs w:val="20"/>
              </w:rPr>
            </w:pPr>
          </w:p>
        </w:tc>
        <w:tc>
          <w:tcPr>
            <w:tcW w:w="672" w:type="dxa"/>
            <w:vMerge w:val="continue"/>
            <w:shd w:val="clear" w:color="auto" w:fill="auto"/>
            <w:noWrap/>
            <w:vAlign w:val="bottom"/>
          </w:tcPr>
          <w:p w14:paraId="6DB0EA5D">
            <w:pPr>
              <w:rPr>
                <w:rFonts w:ascii="宋体" w:hAnsi="宋体" w:eastAsia="宋体" w:cs="宋体"/>
                <w:color w:val="000000"/>
                <w:sz w:val="22"/>
              </w:rPr>
            </w:pPr>
          </w:p>
        </w:tc>
      </w:tr>
      <w:tr w14:paraId="7A2E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3CC9B555">
            <w:pPr>
              <w:jc w:val="center"/>
              <w:rPr>
                <w:rFonts w:ascii="宋体" w:hAnsi="宋体" w:eastAsia="宋体" w:cs="宋体"/>
                <w:color w:val="000000"/>
                <w:sz w:val="20"/>
                <w:szCs w:val="20"/>
              </w:rPr>
            </w:pPr>
          </w:p>
        </w:tc>
        <w:tc>
          <w:tcPr>
            <w:tcW w:w="825" w:type="dxa"/>
            <w:vMerge w:val="continue"/>
            <w:shd w:val="clear" w:color="auto" w:fill="auto"/>
            <w:vAlign w:val="center"/>
          </w:tcPr>
          <w:p w14:paraId="126C83DE">
            <w:pPr>
              <w:jc w:val="left"/>
              <w:rPr>
                <w:rFonts w:ascii="宋体" w:hAnsi="宋体" w:eastAsia="宋体" w:cs="宋体"/>
                <w:color w:val="000000"/>
                <w:sz w:val="20"/>
                <w:szCs w:val="20"/>
              </w:rPr>
            </w:pPr>
          </w:p>
        </w:tc>
        <w:tc>
          <w:tcPr>
            <w:tcW w:w="5780" w:type="dxa"/>
            <w:shd w:val="clear" w:color="auto" w:fill="auto"/>
            <w:vAlign w:val="center"/>
          </w:tcPr>
          <w:p w14:paraId="620950EF">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表面技术要求：焊接完成后的钢管架，表面需经除油、脱脂、磷化、皮膜处理。外表采</w:t>
            </w:r>
            <w:r>
              <w:rPr>
                <w:rFonts w:hint="eastAsia" w:ascii="宋体" w:hAnsi="宋体" w:eastAsia="宋体" w:cs="宋体"/>
                <w:sz w:val="21"/>
                <w:szCs w:val="21"/>
                <w:lang w:val="en-US" w:eastAsia="zh-CN"/>
              </w:rPr>
              <w:t>用</w:t>
            </w:r>
            <w:r>
              <w:rPr>
                <w:rFonts w:hint="eastAsia" w:ascii="宋体" w:hAnsi="宋体" w:eastAsia="宋体" w:cs="宋体"/>
                <w:sz w:val="21"/>
                <w:szCs w:val="21"/>
              </w:rPr>
              <w:t>一级颗粒粉末，经高温粉体烤漆，无刮伤货脱漆现象。涂层需无漏喷、锈蚀涂层需光滑均匀，色泽一致，需无流挂、疙瘩、皱皮、飞漆等缺陷。涂层需平整光滑、清晰，需无明显粒子、涨边现象。</w:t>
            </w:r>
          </w:p>
        </w:tc>
        <w:tc>
          <w:tcPr>
            <w:tcW w:w="712" w:type="dxa"/>
            <w:vMerge w:val="continue"/>
            <w:shd w:val="clear" w:color="auto" w:fill="auto"/>
            <w:vAlign w:val="center"/>
          </w:tcPr>
          <w:p w14:paraId="211535BB">
            <w:pPr>
              <w:jc w:val="center"/>
              <w:rPr>
                <w:rFonts w:ascii="宋体" w:hAnsi="宋体" w:eastAsia="宋体" w:cs="宋体"/>
                <w:color w:val="000000"/>
                <w:sz w:val="20"/>
                <w:szCs w:val="20"/>
              </w:rPr>
            </w:pPr>
          </w:p>
        </w:tc>
        <w:tc>
          <w:tcPr>
            <w:tcW w:w="825" w:type="dxa"/>
            <w:vMerge w:val="continue"/>
            <w:shd w:val="clear" w:color="auto" w:fill="auto"/>
            <w:vAlign w:val="center"/>
          </w:tcPr>
          <w:p w14:paraId="49B74E62">
            <w:pPr>
              <w:jc w:val="center"/>
              <w:rPr>
                <w:rFonts w:ascii="宋体" w:hAnsi="宋体" w:eastAsia="宋体" w:cs="宋体"/>
                <w:color w:val="000000"/>
                <w:sz w:val="20"/>
                <w:szCs w:val="20"/>
              </w:rPr>
            </w:pPr>
          </w:p>
        </w:tc>
        <w:tc>
          <w:tcPr>
            <w:tcW w:w="672" w:type="dxa"/>
            <w:vMerge w:val="continue"/>
            <w:shd w:val="clear" w:color="auto" w:fill="auto"/>
            <w:noWrap/>
            <w:vAlign w:val="bottom"/>
          </w:tcPr>
          <w:p w14:paraId="6C561811">
            <w:pPr>
              <w:rPr>
                <w:rFonts w:ascii="宋体" w:hAnsi="宋体" w:eastAsia="宋体" w:cs="宋体"/>
                <w:color w:val="000000"/>
                <w:sz w:val="22"/>
              </w:rPr>
            </w:pPr>
          </w:p>
        </w:tc>
      </w:tr>
      <w:tr w14:paraId="4B49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4F05B1F">
            <w:pPr>
              <w:jc w:val="center"/>
              <w:rPr>
                <w:rFonts w:ascii="宋体" w:hAnsi="宋体" w:eastAsia="宋体" w:cs="宋体"/>
                <w:color w:val="000000"/>
                <w:sz w:val="20"/>
                <w:szCs w:val="20"/>
              </w:rPr>
            </w:pPr>
          </w:p>
        </w:tc>
        <w:tc>
          <w:tcPr>
            <w:tcW w:w="825" w:type="dxa"/>
            <w:vMerge w:val="continue"/>
            <w:shd w:val="clear" w:color="auto" w:fill="auto"/>
            <w:vAlign w:val="center"/>
          </w:tcPr>
          <w:p w14:paraId="0E9D2640">
            <w:pPr>
              <w:jc w:val="left"/>
              <w:rPr>
                <w:rFonts w:ascii="宋体" w:hAnsi="宋体" w:eastAsia="宋体" w:cs="宋体"/>
                <w:color w:val="000000"/>
                <w:sz w:val="20"/>
                <w:szCs w:val="20"/>
              </w:rPr>
            </w:pPr>
          </w:p>
        </w:tc>
        <w:tc>
          <w:tcPr>
            <w:tcW w:w="5780" w:type="dxa"/>
            <w:shd w:val="clear" w:color="auto" w:fill="auto"/>
            <w:vAlign w:val="center"/>
          </w:tcPr>
          <w:p w14:paraId="44644695">
            <w:pPr>
              <w:spacing w:line="240" w:lineRule="auto"/>
              <w:jc w:val="left"/>
              <w:rPr>
                <w:rFonts w:ascii="宋体" w:hAnsi="宋体" w:eastAsia="宋体" w:cs="宋体"/>
                <w:color w:val="000000"/>
                <w:sz w:val="20"/>
                <w:szCs w:val="20"/>
              </w:rPr>
            </w:pPr>
            <w:r>
              <w:rPr>
                <w:rFonts w:hint="eastAsia" w:ascii="宋体" w:hAnsi="宋体" w:eastAsia="宋体" w:cs="宋体"/>
                <w:b/>
                <w:bCs/>
                <w:sz w:val="21"/>
                <w:szCs w:val="21"/>
                <w:lang w:val="en-US" w:eastAsia="zh-CN"/>
              </w:rPr>
              <w:t>D.课桌椅标识：</w:t>
            </w:r>
          </w:p>
        </w:tc>
        <w:tc>
          <w:tcPr>
            <w:tcW w:w="712" w:type="dxa"/>
            <w:vMerge w:val="continue"/>
            <w:shd w:val="clear" w:color="auto" w:fill="auto"/>
            <w:vAlign w:val="center"/>
          </w:tcPr>
          <w:p w14:paraId="096A1117">
            <w:pPr>
              <w:jc w:val="center"/>
              <w:rPr>
                <w:rFonts w:ascii="宋体" w:hAnsi="宋体" w:eastAsia="宋体" w:cs="宋体"/>
                <w:color w:val="000000"/>
                <w:sz w:val="20"/>
                <w:szCs w:val="20"/>
              </w:rPr>
            </w:pPr>
          </w:p>
        </w:tc>
        <w:tc>
          <w:tcPr>
            <w:tcW w:w="825" w:type="dxa"/>
            <w:vMerge w:val="continue"/>
            <w:shd w:val="clear" w:color="auto" w:fill="auto"/>
            <w:vAlign w:val="center"/>
          </w:tcPr>
          <w:p w14:paraId="05D93E91">
            <w:pPr>
              <w:jc w:val="center"/>
              <w:rPr>
                <w:rFonts w:ascii="宋体" w:hAnsi="宋体" w:eastAsia="宋体" w:cs="宋体"/>
                <w:color w:val="000000"/>
                <w:sz w:val="20"/>
                <w:szCs w:val="20"/>
              </w:rPr>
            </w:pPr>
          </w:p>
        </w:tc>
        <w:tc>
          <w:tcPr>
            <w:tcW w:w="672" w:type="dxa"/>
            <w:vMerge w:val="continue"/>
            <w:shd w:val="clear" w:color="auto" w:fill="auto"/>
            <w:noWrap/>
            <w:vAlign w:val="bottom"/>
          </w:tcPr>
          <w:p w14:paraId="7B11AA84">
            <w:pPr>
              <w:rPr>
                <w:rFonts w:ascii="宋体" w:hAnsi="宋体" w:eastAsia="宋体" w:cs="宋体"/>
                <w:color w:val="000000"/>
                <w:sz w:val="22"/>
              </w:rPr>
            </w:pPr>
          </w:p>
        </w:tc>
      </w:tr>
      <w:tr w14:paraId="59F2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75C6B88">
            <w:pPr>
              <w:jc w:val="center"/>
              <w:rPr>
                <w:rFonts w:ascii="宋体" w:hAnsi="宋体" w:eastAsia="宋体" w:cs="宋体"/>
                <w:color w:val="000000"/>
                <w:sz w:val="20"/>
                <w:szCs w:val="20"/>
              </w:rPr>
            </w:pPr>
          </w:p>
        </w:tc>
        <w:tc>
          <w:tcPr>
            <w:tcW w:w="825" w:type="dxa"/>
            <w:vMerge w:val="continue"/>
            <w:shd w:val="clear" w:color="auto" w:fill="auto"/>
            <w:vAlign w:val="center"/>
          </w:tcPr>
          <w:p w14:paraId="338689E5">
            <w:pPr>
              <w:jc w:val="left"/>
              <w:rPr>
                <w:rFonts w:ascii="宋体" w:hAnsi="宋体" w:eastAsia="宋体" w:cs="宋体"/>
                <w:color w:val="000000"/>
                <w:sz w:val="20"/>
                <w:szCs w:val="20"/>
              </w:rPr>
            </w:pPr>
          </w:p>
        </w:tc>
        <w:tc>
          <w:tcPr>
            <w:tcW w:w="5780" w:type="dxa"/>
            <w:shd w:val="clear" w:color="auto" w:fill="auto"/>
            <w:vAlign w:val="center"/>
          </w:tcPr>
          <w:p w14:paraId="56B2181E">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采用激光镭射标示，字体保证永久不会脱落掉色，方便学校管理使用及产品维护。在可调节的钢制脚架上外侧清晰标记，高度刻度尺按照（GB/T3976-2014《学校课桌椅功能尺寸及技术要求》）用阿拉伯数字作标示。</w:t>
            </w:r>
          </w:p>
        </w:tc>
        <w:tc>
          <w:tcPr>
            <w:tcW w:w="712" w:type="dxa"/>
            <w:vMerge w:val="continue"/>
            <w:shd w:val="clear" w:color="auto" w:fill="auto"/>
            <w:vAlign w:val="center"/>
          </w:tcPr>
          <w:p w14:paraId="55769A08">
            <w:pPr>
              <w:jc w:val="center"/>
              <w:rPr>
                <w:rFonts w:ascii="宋体" w:hAnsi="宋体" w:eastAsia="宋体" w:cs="宋体"/>
                <w:color w:val="000000"/>
                <w:sz w:val="20"/>
                <w:szCs w:val="20"/>
              </w:rPr>
            </w:pPr>
          </w:p>
        </w:tc>
        <w:tc>
          <w:tcPr>
            <w:tcW w:w="825" w:type="dxa"/>
            <w:vMerge w:val="continue"/>
            <w:shd w:val="clear" w:color="auto" w:fill="auto"/>
            <w:vAlign w:val="center"/>
          </w:tcPr>
          <w:p w14:paraId="1FEC0221">
            <w:pPr>
              <w:jc w:val="center"/>
              <w:rPr>
                <w:rFonts w:ascii="宋体" w:hAnsi="宋体" w:eastAsia="宋体" w:cs="宋体"/>
                <w:color w:val="000000"/>
                <w:sz w:val="20"/>
                <w:szCs w:val="20"/>
              </w:rPr>
            </w:pPr>
          </w:p>
        </w:tc>
        <w:tc>
          <w:tcPr>
            <w:tcW w:w="672" w:type="dxa"/>
            <w:vMerge w:val="continue"/>
            <w:shd w:val="clear" w:color="auto" w:fill="auto"/>
            <w:noWrap/>
            <w:vAlign w:val="bottom"/>
          </w:tcPr>
          <w:p w14:paraId="401450FD">
            <w:pPr>
              <w:rPr>
                <w:rFonts w:ascii="宋体" w:hAnsi="宋体" w:eastAsia="宋体" w:cs="宋体"/>
                <w:color w:val="000000"/>
                <w:sz w:val="22"/>
              </w:rPr>
            </w:pPr>
          </w:p>
        </w:tc>
      </w:tr>
      <w:tr w14:paraId="791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673D3ED7">
            <w:pPr>
              <w:jc w:val="center"/>
              <w:rPr>
                <w:rFonts w:ascii="宋体" w:hAnsi="宋体" w:eastAsia="宋体" w:cs="宋体"/>
                <w:color w:val="000000"/>
                <w:sz w:val="20"/>
                <w:szCs w:val="20"/>
              </w:rPr>
            </w:pPr>
          </w:p>
        </w:tc>
        <w:tc>
          <w:tcPr>
            <w:tcW w:w="825" w:type="dxa"/>
            <w:vMerge w:val="continue"/>
            <w:shd w:val="clear" w:color="auto" w:fill="auto"/>
            <w:vAlign w:val="center"/>
          </w:tcPr>
          <w:p w14:paraId="11626CF8">
            <w:pPr>
              <w:jc w:val="left"/>
              <w:rPr>
                <w:rFonts w:ascii="宋体" w:hAnsi="宋体" w:eastAsia="宋体" w:cs="宋体"/>
                <w:color w:val="000000"/>
                <w:sz w:val="20"/>
                <w:szCs w:val="20"/>
              </w:rPr>
            </w:pPr>
          </w:p>
        </w:tc>
        <w:tc>
          <w:tcPr>
            <w:tcW w:w="5780" w:type="dxa"/>
            <w:shd w:val="clear" w:color="auto" w:fill="auto"/>
            <w:vAlign w:val="center"/>
          </w:tcPr>
          <w:p w14:paraId="79EB498F">
            <w:pPr>
              <w:numPr>
                <w:ilvl w:val="0"/>
                <w:numId w:val="1"/>
              </w:numPr>
              <w:spacing w:line="240" w:lineRule="auto"/>
              <w:jc w:val="left"/>
              <w:rPr>
                <w:rFonts w:hint="eastAsia" w:ascii="宋体" w:hAnsi="宋体" w:eastAsia="宋体" w:cs="宋体"/>
                <w:sz w:val="21"/>
                <w:szCs w:val="21"/>
              </w:rPr>
            </w:pPr>
            <w:r>
              <w:rPr>
                <w:rFonts w:hint="eastAsia" w:ascii="宋体" w:hAnsi="宋体" w:eastAsia="宋体" w:cs="宋体"/>
                <w:sz w:val="21"/>
                <w:szCs w:val="21"/>
              </w:rPr>
              <w:t>表面标示至少满足以下要求：</w:t>
            </w:r>
          </w:p>
          <w:p w14:paraId="2745733F">
            <w:pPr>
              <w:numPr>
                <w:ilvl w:val="1"/>
                <w:numId w:val="1"/>
              </w:numPr>
              <w:spacing w:line="240" w:lineRule="auto"/>
              <w:jc w:val="left"/>
              <w:rPr>
                <w:rFonts w:hint="eastAsia" w:ascii="宋体" w:hAnsi="宋体" w:eastAsia="宋体" w:cs="宋体"/>
                <w:sz w:val="21"/>
                <w:szCs w:val="21"/>
              </w:rPr>
            </w:pPr>
            <w:r>
              <w:rPr>
                <w:rFonts w:hint="eastAsia" w:ascii="宋体" w:hAnsi="宋体" w:eastAsia="宋体" w:cs="宋体"/>
                <w:sz w:val="21"/>
                <w:szCs w:val="21"/>
              </w:rPr>
              <w:t>在课椅椅腿上部活动立管(钢制脚架上)外侧上做如下标示：</w:t>
            </w:r>
          </w:p>
          <w:p w14:paraId="5F207C6D">
            <w:pPr>
              <w:numPr>
                <w:ilvl w:val="1"/>
                <w:numId w:val="1"/>
              </w:numPr>
              <w:spacing w:line="240" w:lineRule="auto"/>
              <w:jc w:val="left"/>
              <w:rPr>
                <w:rFonts w:hint="eastAsia" w:ascii="宋体" w:hAnsi="宋体" w:eastAsia="宋体" w:cs="宋体"/>
                <w:sz w:val="21"/>
                <w:szCs w:val="21"/>
              </w:rPr>
            </w:pPr>
            <w:r>
              <w:rPr>
                <w:rFonts w:hint="eastAsia" w:ascii="宋体" w:hAnsi="宋体" w:eastAsia="宋体" w:cs="宋体"/>
                <w:sz w:val="21"/>
                <w:szCs w:val="21"/>
              </w:rPr>
              <w:t>标有统一的校名（简称）标识，方便学校财产登记</w:t>
            </w:r>
          </w:p>
          <w:p w14:paraId="3B7BB77C">
            <w:pPr>
              <w:numPr>
                <w:ilvl w:val="1"/>
                <w:numId w:val="1"/>
              </w:numPr>
              <w:spacing w:line="240" w:lineRule="auto"/>
              <w:jc w:val="left"/>
              <w:rPr>
                <w:rFonts w:hint="eastAsia" w:ascii="宋体" w:hAnsi="宋体" w:eastAsia="宋体" w:cs="宋体"/>
                <w:sz w:val="21"/>
                <w:szCs w:val="21"/>
              </w:rPr>
            </w:pPr>
            <w:r>
              <w:rPr>
                <w:rFonts w:hint="eastAsia" w:ascii="宋体" w:hAnsi="宋体" w:eastAsia="宋体" w:cs="宋体"/>
                <w:sz w:val="21"/>
                <w:szCs w:val="21"/>
              </w:rPr>
              <w:t>并标有生产（出厂）年月日数字标识，方便设备保修售后</w:t>
            </w:r>
          </w:p>
          <w:p w14:paraId="076F0E2B">
            <w:pPr>
              <w:numPr>
                <w:ilvl w:val="1"/>
                <w:numId w:val="1"/>
              </w:numPr>
              <w:spacing w:line="240" w:lineRule="auto"/>
              <w:jc w:val="left"/>
              <w:rPr>
                <w:rFonts w:hint="eastAsia" w:ascii="宋体" w:hAnsi="宋体" w:eastAsia="宋体" w:cs="宋体"/>
                <w:sz w:val="21"/>
                <w:szCs w:val="21"/>
              </w:rPr>
            </w:pPr>
            <w:r>
              <w:rPr>
                <w:rFonts w:hint="eastAsia" w:ascii="宋体" w:hAnsi="宋体" w:eastAsia="宋体" w:cs="宋体"/>
                <w:sz w:val="21"/>
                <w:szCs w:val="21"/>
              </w:rPr>
              <w:t>标有产品序列号数字标识（编号从0001开始的流水号），方便学校财产登记。</w:t>
            </w:r>
          </w:p>
          <w:p w14:paraId="6A6D6A0E">
            <w:pPr>
              <w:numPr>
                <w:ilvl w:val="1"/>
                <w:numId w:val="1"/>
              </w:numPr>
              <w:spacing w:line="240" w:lineRule="auto"/>
              <w:ind w:left="84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标有高度刻度尺数字标识，满足</w:t>
            </w:r>
            <w:r>
              <w:rPr>
                <w:rFonts w:hint="eastAsia" w:ascii="宋体" w:hAnsi="宋体" w:eastAsia="宋体" w:cs="宋体"/>
                <w:sz w:val="21"/>
                <w:szCs w:val="21"/>
                <w:lang w:val="en-US" w:eastAsia="zh-CN"/>
              </w:rPr>
              <w:t>采购</w:t>
            </w:r>
            <w:r>
              <w:rPr>
                <w:rFonts w:hint="eastAsia" w:ascii="宋体" w:hAnsi="宋体" w:eastAsia="宋体" w:cs="宋体"/>
                <w:sz w:val="21"/>
                <w:szCs w:val="21"/>
              </w:rPr>
              <w:t>要求。</w:t>
            </w:r>
          </w:p>
        </w:tc>
        <w:tc>
          <w:tcPr>
            <w:tcW w:w="712" w:type="dxa"/>
            <w:vMerge w:val="continue"/>
            <w:shd w:val="clear" w:color="auto" w:fill="auto"/>
            <w:vAlign w:val="center"/>
          </w:tcPr>
          <w:p w14:paraId="02E46531">
            <w:pPr>
              <w:jc w:val="center"/>
              <w:rPr>
                <w:rFonts w:ascii="宋体" w:hAnsi="宋体" w:eastAsia="宋体" w:cs="宋体"/>
                <w:color w:val="000000"/>
                <w:sz w:val="20"/>
                <w:szCs w:val="20"/>
              </w:rPr>
            </w:pPr>
          </w:p>
        </w:tc>
        <w:tc>
          <w:tcPr>
            <w:tcW w:w="825" w:type="dxa"/>
            <w:vMerge w:val="continue"/>
            <w:shd w:val="clear" w:color="auto" w:fill="auto"/>
            <w:vAlign w:val="center"/>
          </w:tcPr>
          <w:p w14:paraId="265F7796">
            <w:pPr>
              <w:jc w:val="center"/>
              <w:rPr>
                <w:rFonts w:ascii="宋体" w:hAnsi="宋体" w:eastAsia="宋体" w:cs="宋体"/>
                <w:color w:val="000000"/>
                <w:sz w:val="20"/>
                <w:szCs w:val="20"/>
              </w:rPr>
            </w:pPr>
          </w:p>
        </w:tc>
        <w:tc>
          <w:tcPr>
            <w:tcW w:w="672" w:type="dxa"/>
            <w:vMerge w:val="continue"/>
            <w:shd w:val="clear" w:color="auto" w:fill="auto"/>
            <w:noWrap/>
            <w:vAlign w:val="bottom"/>
          </w:tcPr>
          <w:p w14:paraId="320C8E7B">
            <w:pPr>
              <w:rPr>
                <w:rFonts w:ascii="宋体" w:hAnsi="宋体" w:eastAsia="宋体" w:cs="宋体"/>
                <w:color w:val="000000"/>
                <w:sz w:val="22"/>
              </w:rPr>
            </w:pPr>
          </w:p>
        </w:tc>
      </w:tr>
      <w:tr w14:paraId="07F8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D4982A9">
            <w:pPr>
              <w:jc w:val="center"/>
              <w:rPr>
                <w:rFonts w:ascii="宋体" w:hAnsi="宋体" w:eastAsia="宋体" w:cs="宋体"/>
                <w:color w:val="000000"/>
                <w:sz w:val="20"/>
                <w:szCs w:val="20"/>
              </w:rPr>
            </w:pPr>
          </w:p>
        </w:tc>
        <w:tc>
          <w:tcPr>
            <w:tcW w:w="825" w:type="dxa"/>
            <w:vMerge w:val="continue"/>
            <w:shd w:val="clear" w:color="auto" w:fill="auto"/>
            <w:vAlign w:val="center"/>
          </w:tcPr>
          <w:p w14:paraId="7E393941">
            <w:pPr>
              <w:jc w:val="left"/>
              <w:rPr>
                <w:rFonts w:ascii="宋体" w:hAnsi="宋体" w:eastAsia="宋体" w:cs="宋体"/>
                <w:color w:val="000000"/>
                <w:sz w:val="20"/>
                <w:szCs w:val="20"/>
              </w:rPr>
            </w:pPr>
          </w:p>
        </w:tc>
        <w:tc>
          <w:tcPr>
            <w:tcW w:w="5780" w:type="dxa"/>
            <w:shd w:val="clear" w:color="auto" w:fill="auto"/>
            <w:vAlign w:val="center"/>
          </w:tcPr>
          <w:p w14:paraId="1C1B7A3D">
            <w:pPr>
              <w:spacing w:line="240" w:lineRule="auto"/>
              <w:jc w:val="left"/>
              <w:rPr>
                <w:rFonts w:ascii="宋体" w:hAnsi="宋体" w:eastAsia="宋体" w:cs="宋体"/>
                <w:color w:val="000000"/>
                <w:sz w:val="20"/>
                <w:szCs w:val="20"/>
              </w:rPr>
            </w:pPr>
            <w:r>
              <w:rPr>
                <w:rFonts w:hint="eastAsia" w:ascii="宋体" w:hAnsi="宋体" w:eastAsia="宋体" w:cs="宋体"/>
                <w:b/>
                <w:bCs/>
                <w:sz w:val="21"/>
                <w:szCs w:val="21"/>
                <w:lang w:val="en-US" w:eastAsia="zh-CN"/>
              </w:rPr>
              <w:t>F.脚垫</w:t>
            </w:r>
          </w:p>
        </w:tc>
        <w:tc>
          <w:tcPr>
            <w:tcW w:w="712" w:type="dxa"/>
            <w:vMerge w:val="continue"/>
            <w:shd w:val="clear" w:color="auto" w:fill="auto"/>
            <w:vAlign w:val="center"/>
          </w:tcPr>
          <w:p w14:paraId="49B218FA">
            <w:pPr>
              <w:jc w:val="center"/>
              <w:rPr>
                <w:rFonts w:ascii="宋体" w:hAnsi="宋体" w:eastAsia="宋体" w:cs="宋体"/>
                <w:color w:val="000000"/>
                <w:sz w:val="20"/>
                <w:szCs w:val="20"/>
              </w:rPr>
            </w:pPr>
          </w:p>
        </w:tc>
        <w:tc>
          <w:tcPr>
            <w:tcW w:w="825" w:type="dxa"/>
            <w:vMerge w:val="continue"/>
            <w:shd w:val="clear" w:color="auto" w:fill="auto"/>
            <w:vAlign w:val="center"/>
          </w:tcPr>
          <w:p w14:paraId="718AF433">
            <w:pPr>
              <w:jc w:val="center"/>
              <w:rPr>
                <w:rFonts w:ascii="宋体" w:hAnsi="宋体" w:eastAsia="宋体" w:cs="宋体"/>
                <w:color w:val="000000"/>
                <w:sz w:val="20"/>
                <w:szCs w:val="20"/>
              </w:rPr>
            </w:pPr>
          </w:p>
        </w:tc>
        <w:tc>
          <w:tcPr>
            <w:tcW w:w="672" w:type="dxa"/>
            <w:vMerge w:val="continue"/>
            <w:shd w:val="clear" w:color="auto" w:fill="auto"/>
            <w:noWrap/>
            <w:vAlign w:val="bottom"/>
          </w:tcPr>
          <w:p w14:paraId="50A9A3AC">
            <w:pPr>
              <w:rPr>
                <w:rFonts w:ascii="宋体" w:hAnsi="宋体" w:eastAsia="宋体" w:cs="宋体"/>
                <w:color w:val="000000"/>
                <w:sz w:val="22"/>
              </w:rPr>
            </w:pPr>
          </w:p>
        </w:tc>
      </w:tr>
      <w:tr w14:paraId="191A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4531B87F">
            <w:pPr>
              <w:jc w:val="center"/>
              <w:rPr>
                <w:rFonts w:ascii="宋体" w:hAnsi="宋体" w:eastAsia="宋体" w:cs="宋体"/>
                <w:color w:val="000000"/>
                <w:sz w:val="20"/>
                <w:szCs w:val="20"/>
              </w:rPr>
            </w:pPr>
          </w:p>
        </w:tc>
        <w:tc>
          <w:tcPr>
            <w:tcW w:w="825" w:type="dxa"/>
            <w:vMerge w:val="continue"/>
            <w:shd w:val="clear" w:color="auto" w:fill="auto"/>
            <w:vAlign w:val="center"/>
          </w:tcPr>
          <w:p w14:paraId="1ED5320C">
            <w:pPr>
              <w:jc w:val="left"/>
              <w:rPr>
                <w:rFonts w:ascii="宋体" w:hAnsi="宋体" w:eastAsia="宋体" w:cs="宋体"/>
                <w:color w:val="000000"/>
                <w:sz w:val="20"/>
                <w:szCs w:val="20"/>
              </w:rPr>
            </w:pPr>
          </w:p>
        </w:tc>
        <w:tc>
          <w:tcPr>
            <w:tcW w:w="5780" w:type="dxa"/>
            <w:shd w:val="clear" w:color="auto" w:fill="auto"/>
            <w:vAlign w:val="center"/>
          </w:tcPr>
          <w:p w14:paraId="42AA5BD7">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材质：PP塑料（塑胶） ，结实耐用不易脱落。</w:t>
            </w:r>
          </w:p>
        </w:tc>
        <w:tc>
          <w:tcPr>
            <w:tcW w:w="712" w:type="dxa"/>
            <w:vMerge w:val="continue"/>
            <w:shd w:val="clear" w:color="auto" w:fill="auto"/>
            <w:vAlign w:val="center"/>
          </w:tcPr>
          <w:p w14:paraId="02403BA0">
            <w:pPr>
              <w:jc w:val="center"/>
              <w:rPr>
                <w:rFonts w:ascii="宋体" w:hAnsi="宋体" w:eastAsia="宋体" w:cs="宋体"/>
                <w:color w:val="000000"/>
                <w:sz w:val="20"/>
                <w:szCs w:val="20"/>
              </w:rPr>
            </w:pPr>
          </w:p>
        </w:tc>
        <w:tc>
          <w:tcPr>
            <w:tcW w:w="825" w:type="dxa"/>
            <w:vMerge w:val="continue"/>
            <w:shd w:val="clear" w:color="auto" w:fill="auto"/>
            <w:vAlign w:val="center"/>
          </w:tcPr>
          <w:p w14:paraId="54A2ED45">
            <w:pPr>
              <w:jc w:val="center"/>
              <w:rPr>
                <w:rFonts w:ascii="宋体" w:hAnsi="宋体" w:eastAsia="宋体" w:cs="宋体"/>
                <w:color w:val="000000"/>
                <w:sz w:val="20"/>
                <w:szCs w:val="20"/>
              </w:rPr>
            </w:pPr>
          </w:p>
        </w:tc>
        <w:tc>
          <w:tcPr>
            <w:tcW w:w="672" w:type="dxa"/>
            <w:vMerge w:val="continue"/>
            <w:shd w:val="clear" w:color="auto" w:fill="auto"/>
            <w:noWrap/>
            <w:vAlign w:val="bottom"/>
          </w:tcPr>
          <w:p w14:paraId="3CEED994">
            <w:pPr>
              <w:rPr>
                <w:rFonts w:ascii="宋体" w:hAnsi="宋体" w:eastAsia="宋体" w:cs="宋体"/>
                <w:color w:val="000000"/>
                <w:sz w:val="22"/>
              </w:rPr>
            </w:pPr>
          </w:p>
        </w:tc>
      </w:tr>
      <w:tr w14:paraId="15D1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04991BC2">
            <w:pPr>
              <w:jc w:val="center"/>
              <w:rPr>
                <w:rFonts w:ascii="宋体" w:hAnsi="宋体" w:eastAsia="宋体" w:cs="宋体"/>
                <w:color w:val="000000"/>
                <w:sz w:val="20"/>
                <w:szCs w:val="20"/>
              </w:rPr>
            </w:pPr>
          </w:p>
        </w:tc>
        <w:tc>
          <w:tcPr>
            <w:tcW w:w="825" w:type="dxa"/>
            <w:vMerge w:val="continue"/>
            <w:shd w:val="clear" w:color="auto" w:fill="auto"/>
            <w:vAlign w:val="center"/>
          </w:tcPr>
          <w:p w14:paraId="5EC4242A">
            <w:pPr>
              <w:jc w:val="left"/>
              <w:rPr>
                <w:rFonts w:ascii="宋体" w:hAnsi="宋体" w:eastAsia="宋体" w:cs="宋体"/>
                <w:color w:val="000000"/>
                <w:sz w:val="20"/>
                <w:szCs w:val="20"/>
              </w:rPr>
            </w:pPr>
          </w:p>
        </w:tc>
        <w:tc>
          <w:tcPr>
            <w:tcW w:w="5780" w:type="dxa"/>
            <w:shd w:val="clear" w:color="auto" w:fill="auto"/>
            <w:vAlign w:val="center"/>
          </w:tcPr>
          <w:p w14:paraId="2CEEC773">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功能：课椅脚垫采用固定螺丝和地平调节螺丝独立专用的安装模式：固定螺丝用于连接贴地管与脚垫，使脚垫不易脱落。地平调节螺丝可用螺丝刀旋转任意调节水平度的功能，同时还可以防止课椅倾斜。地平调节螺丝采用耐磨塑钢胶料POM材质螺纹制造、旋转顺滑且不生锈、质量轻且承重性强、防滑防震、耐磨降噪、操作简便实用。</w:t>
            </w:r>
          </w:p>
        </w:tc>
        <w:tc>
          <w:tcPr>
            <w:tcW w:w="712" w:type="dxa"/>
            <w:vMerge w:val="continue"/>
            <w:shd w:val="clear" w:color="auto" w:fill="auto"/>
            <w:vAlign w:val="center"/>
          </w:tcPr>
          <w:p w14:paraId="52326A7D">
            <w:pPr>
              <w:jc w:val="center"/>
              <w:rPr>
                <w:rFonts w:ascii="宋体" w:hAnsi="宋体" w:eastAsia="宋体" w:cs="宋体"/>
                <w:color w:val="000000"/>
                <w:sz w:val="20"/>
                <w:szCs w:val="20"/>
              </w:rPr>
            </w:pPr>
          </w:p>
        </w:tc>
        <w:tc>
          <w:tcPr>
            <w:tcW w:w="825" w:type="dxa"/>
            <w:vMerge w:val="continue"/>
            <w:shd w:val="clear" w:color="auto" w:fill="auto"/>
            <w:vAlign w:val="center"/>
          </w:tcPr>
          <w:p w14:paraId="7AA12D20">
            <w:pPr>
              <w:jc w:val="center"/>
              <w:rPr>
                <w:rFonts w:ascii="宋体" w:hAnsi="宋体" w:eastAsia="宋体" w:cs="宋体"/>
                <w:color w:val="000000"/>
                <w:sz w:val="20"/>
                <w:szCs w:val="20"/>
              </w:rPr>
            </w:pPr>
          </w:p>
        </w:tc>
        <w:tc>
          <w:tcPr>
            <w:tcW w:w="672" w:type="dxa"/>
            <w:vMerge w:val="continue"/>
            <w:shd w:val="clear" w:color="auto" w:fill="auto"/>
            <w:noWrap/>
            <w:vAlign w:val="bottom"/>
          </w:tcPr>
          <w:p w14:paraId="0A2D77E3">
            <w:pPr>
              <w:rPr>
                <w:rFonts w:ascii="宋体" w:hAnsi="宋体" w:eastAsia="宋体" w:cs="宋体"/>
                <w:color w:val="000000"/>
                <w:sz w:val="22"/>
              </w:rPr>
            </w:pPr>
          </w:p>
        </w:tc>
      </w:tr>
      <w:tr w14:paraId="0D9D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2741D950">
            <w:pPr>
              <w:jc w:val="center"/>
              <w:rPr>
                <w:rFonts w:ascii="宋体" w:hAnsi="宋体" w:eastAsia="宋体" w:cs="宋体"/>
                <w:color w:val="000000"/>
                <w:sz w:val="20"/>
                <w:szCs w:val="20"/>
              </w:rPr>
            </w:pPr>
          </w:p>
        </w:tc>
        <w:tc>
          <w:tcPr>
            <w:tcW w:w="825" w:type="dxa"/>
            <w:vMerge w:val="continue"/>
            <w:shd w:val="clear" w:color="auto" w:fill="auto"/>
            <w:vAlign w:val="center"/>
          </w:tcPr>
          <w:p w14:paraId="492695DF">
            <w:pPr>
              <w:jc w:val="left"/>
              <w:rPr>
                <w:rFonts w:ascii="宋体" w:hAnsi="宋体" w:eastAsia="宋体" w:cs="宋体"/>
                <w:color w:val="000000"/>
                <w:sz w:val="20"/>
                <w:szCs w:val="20"/>
              </w:rPr>
            </w:pPr>
          </w:p>
        </w:tc>
        <w:tc>
          <w:tcPr>
            <w:tcW w:w="5780" w:type="dxa"/>
            <w:shd w:val="clear" w:color="auto" w:fill="auto"/>
            <w:vAlign w:val="center"/>
          </w:tcPr>
          <w:p w14:paraId="7CD9A3C7">
            <w:pPr>
              <w:spacing w:line="240" w:lineRule="auto"/>
              <w:jc w:val="left"/>
              <w:rPr>
                <w:rFonts w:ascii="宋体" w:hAnsi="宋体" w:eastAsia="宋体" w:cs="宋体"/>
                <w:color w:val="000000"/>
                <w:sz w:val="20"/>
                <w:szCs w:val="20"/>
              </w:rPr>
            </w:pPr>
            <w:r>
              <w:rPr>
                <w:rFonts w:hint="eastAsia" w:ascii="宋体" w:hAnsi="宋体" w:eastAsia="宋体" w:cs="宋体"/>
                <w:b/>
                <w:bCs/>
                <w:sz w:val="21"/>
                <w:szCs w:val="21"/>
                <w:lang w:val="en-US" w:eastAsia="zh-CN"/>
              </w:rPr>
              <w:t>G.其他配件（简述）</w:t>
            </w:r>
          </w:p>
        </w:tc>
        <w:tc>
          <w:tcPr>
            <w:tcW w:w="712" w:type="dxa"/>
            <w:vMerge w:val="continue"/>
            <w:shd w:val="clear" w:color="auto" w:fill="auto"/>
            <w:vAlign w:val="center"/>
          </w:tcPr>
          <w:p w14:paraId="7C178395">
            <w:pPr>
              <w:jc w:val="center"/>
              <w:rPr>
                <w:rFonts w:ascii="宋体" w:hAnsi="宋体" w:eastAsia="宋体" w:cs="宋体"/>
                <w:color w:val="000000"/>
                <w:sz w:val="20"/>
                <w:szCs w:val="20"/>
              </w:rPr>
            </w:pPr>
          </w:p>
        </w:tc>
        <w:tc>
          <w:tcPr>
            <w:tcW w:w="825" w:type="dxa"/>
            <w:vMerge w:val="continue"/>
            <w:shd w:val="clear" w:color="auto" w:fill="auto"/>
            <w:vAlign w:val="center"/>
          </w:tcPr>
          <w:p w14:paraId="3EAF63F9">
            <w:pPr>
              <w:jc w:val="center"/>
              <w:rPr>
                <w:rFonts w:ascii="宋体" w:hAnsi="宋体" w:eastAsia="宋体" w:cs="宋体"/>
                <w:color w:val="000000"/>
                <w:sz w:val="20"/>
                <w:szCs w:val="20"/>
              </w:rPr>
            </w:pPr>
          </w:p>
        </w:tc>
        <w:tc>
          <w:tcPr>
            <w:tcW w:w="672" w:type="dxa"/>
            <w:vMerge w:val="continue"/>
            <w:shd w:val="clear" w:color="auto" w:fill="auto"/>
            <w:noWrap/>
            <w:vAlign w:val="bottom"/>
          </w:tcPr>
          <w:p w14:paraId="110F308D">
            <w:pPr>
              <w:rPr>
                <w:rFonts w:ascii="宋体" w:hAnsi="宋体" w:eastAsia="宋体" w:cs="宋体"/>
                <w:color w:val="000000"/>
                <w:sz w:val="22"/>
              </w:rPr>
            </w:pPr>
          </w:p>
        </w:tc>
      </w:tr>
      <w:tr w14:paraId="19FE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8D621CE">
            <w:pPr>
              <w:jc w:val="center"/>
              <w:rPr>
                <w:rFonts w:ascii="宋体" w:hAnsi="宋体" w:eastAsia="宋体" w:cs="宋体"/>
                <w:color w:val="000000"/>
                <w:sz w:val="20"/>
                <w:szCs w:val="20"/>
              </w:rPr>
            </w:pPr>
          </w:p>
        </w:tc>
        <w:tc>
          <w:tcPr>
            <w:tcW w:w="825" w:type="dxa"/>
            <w:vMerge w:val="continue"/>
            <w:shd w:val="clear" w:color="auto" w:fill="auto"/>
            <w:vAlign w:val="center"/>
          </w:tcPr>
          <w:p w14:paraId="187D1CCF">
            <w:pPr>
              <w:jc w:val="left"/>
              <w:rPr>
                <w:rFonts w:ascii="宋体" w:hAnsi="宋体" w:eastAsia="宋体" w:cs="宋体"/>
                <w:color w:val="000000"/>
                <w:sz w:val="20"/>
                <w:szCs w:val="20"/>
              </w:rPr>
            </w:pPr>
          </w:p>
        </w:tc>
        <w:tc>
          <w:tcPr>
            <w:tcW w:w="5780" w:type="dxa"/>
            <w:shd w:val="clear" w:color="auto" w:fill="auto"/>
            <w:vAlign w:val="center"/>
          </w:tcPr>
          <w:p w14:paraId="2AA60654">
            <w:pPr>
              <w:spacing w:line="24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快速升降调节组件：</w:t>
            </w:r>
          </w:p>
          <w:p w14:paraId="3E675DBF">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手摇可调式结构：耐用环保材料轻便耐用无噪音并有效防止长期使用生锈后活动受阻卡死，组合成腿部升降器由中间传动轴连接左右腿上部活动立管可以同时升降，采用手摇千斤顶承载式上下安全升降结构原理，由下往上顶可以保证结构高强度和坚固性耐用，使用更顺畅，结构合理、顺畅、安全不夾手无安全隐患。采用由下往上顶升降的手摇千斤顶承载式上下安全升降结构组合成课椅椅腿升降器由中间传动轴连接课椅的左右腿上部活动立管可以同时升降，由下往上顶升高高度，回拉降低高度，可以保证结构高强度和坚固性耐用,使用更顺畅，结构合理、顺畅、安全不夾手无安全隐患。</w:t>
            </w:r>
          </w:p>
        </w:tc>
        <w:tc>
          <w:tcPr>
            <w:tcW w:w="712" w:type="dxa"/>
            <w:vMerge w:val="continue"/>
            <w:shd w:val="clear" w:color="auto" w:fill="auto"/>
            <w:vAlign w:val="center"/>
          </w:tcPr>
          <w:p w14:paraId="73428964">
            <w:pPr>
              <w:jc w:val="center"/>
              <w:rPr>
                <w:rFonts w:ascii="宋体" w:hAnsi="宋体" w:eastAsia="宋体" w:cs="宋体"/>
                <w:color w:val="000000"/>
                <w:sz w:val="20"/>
                <w:szCs w:val="20"/>
              </w:rPr>
            </w:pPr>
          </w:p>
        </w:tc>
        <w:tc>
          <w:tcPr>
            <w:tcW w:w="825" w:type="dxa"/>
            <w:vMerge w:val="continue"/>
            <w:shd w:val="clear" w:color="auto" w:fill="auto"/>
            <w:vAlign w:val="center"/>
          </w:tcPr>
          <w:p w14:paraId="5A9DB3E4">
            <w:pPr>
              <w:jc w:val="center"/>
              <w:rPr>
                <w:rFonts w:ascii="宋体" w:hAnsi="宋体" w:eastAsia="宋体" w:cs="宋体"/>
                <w:color w:val="000000"/>
                <w:sz w:val="20"/>
                <w:szCs w:val="20"/>
              </w:rPr>
            </w:pPr>
          </w:p>
        </w:tc>
        <w:tc>
          <w:tcPr>
            <w:tcW w:w="672" w:type="dxa"/>
            <w:vMerge w:val="continue"/>
            <w:shd w:val="clear" w:color="auto" w:fill="auto"/>
            <w:noWrap/>
            <w:vAlign w:val="bottom"/>
          </w:tcPr>
          <w:p w14:paraId="6F0B27B0">
            <w:pPr>
              <w:rPr>
                <w:rFonts w:ascii="宋体" w:hAnsi="宋体" w:eastAsia="宋体" w:cs="宋体"/>
                <w:color w:val="000000"/>
                <w:sz w:val="22"/>
              </w:rPr>
            </w:pPr>
          </w:p>
        </w:tc>
      </w:tr>
      <w:tr w14:paraId="7100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5391A83E">
            <w:pPr>
              <w:jc w:val="center"/>
              <w:rPr>
                <w:rFonts w:ascii="宋体" w:hAnsi="宋体" w:eastAsia="宋体" w:cs="宋体"/>
                <w:color w:val="000000"/>
                <w:sz w:val="20"/>
                <w:szCs w:val="20"/>
              </w:rPr>
            </w:pPr>
          </w:p>
        </w:tc>
        <w:tc>
          <w:tcPr>
            <w:tcW w:w="825" w:type="dxa"/>
            <w:vMerge w:val="continue"/>
            <w:shd w:val="clear" w:color="auto" w:fill="auto"/>
            <w:vAlign w:val="center"/>
          </w:tcPr>
          <w:p w14:paraId="15F039C7">
            <w:pPr>
              <w:jc w:val="left"/>
              <w:rPr>
                <w:rFonts w:ascii="宋体" w:hAnsi="宋体" w:eastAsia="宋体" w:cs="宋体"/>
                <w:color w:val="000000"/>
                <w:sz w:val="20"/>
                <w:szCs w:val="20"/>
              </w:rPr>
            </w:pPr>
          </w:p>
        </w:tc>
        <w:tc>
          <w:tcPr>
            <w:tcW w:w="5780" w:type="dxa"/>
            <w:shd w:val="clear" w:color="auto" w:fill="auto"/>
            <w:vAlign w:val="center"/>
          </w:tcPr>
          <w:p w14:paraId="3BE5464F">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手摇组件装置安全性：椅腿外侧外观无外露螺丝五金件，学生使用无安全隐患，左右腿都可以同时调整高度。</w:t>
            </w:r>
          </w:p>
        </w:tc>
        <w:tc>
          <w:tcPr>
            <w:tcW w:w="712" w:type="dxa"/>
            <w:vMerge w:val="continue"/>
            <w:shd w:val="clear" w:color="auto" w:fill="auto"/>
            <w:vAlign w:val="center"/>
          </w:tcPr>
          <w:p w14:paraId="65C71552">
            <w:pPr>
              <w:jc w:val="center"/>
              <w:rPr>
                <w:rFonts w:ascii="宋体" w:hAnsi="宋体" w:eastAsia="宋体" w:cs="宋体"/>
                <w:color w:val="000000"/>
                <w:sz w:val="20"/>
                <w:szCs w:val="20"/>
              </w:rPr>
            </w:pPr>
          </w:p>
        </w:tc>
        <w:tc>
          <w:tcPr>
            <w:tcW w:w="825" w:type="dxa"/>
            <w:vMerge w:val="continue"/>
            <w:shd w:val="clear" w:color="auto" w:fill="auto"/>
            <w:vAlign w:val="center"/>
          </w:tcPr>
          <w:p w14:paraId="2189D5B7">
            <w:pPr>
              <w:jc w:val="center"/>
              <w:rPr>
                <w:rFonts w:ascii="宋体" w:hAnsi="宋体" w:eastAsia="宋体" w:cs="宋体"/>
                <w:color w:val="000000"/>
                <w:sz w:val="20"/>
                <w:szCs w:val="20"/>
              </w:rPr>
            </w:pPr>
          </w:p>
        </w:tc>
        <w:tc>
          <w:tcPr>
            <w:tcW w:w="672" w:type="dxa"/>
            <w:vMerge w:val="continue"/>
            <w:shd w:val="clear" w:color="auto" w:fill="auto"/>
            <w:noWrap/>
            <w:vAlign w:val="bottom"/>
          </w:tcPr>
          <w:p w14:paraId="3FD888AD">
            <w:pPr>
              <w:rPr>
                <w:rFonts w:ascii="宋体" w:hAnsi="宋体" w:eastAsia="宋体" w:cs="宋体"/>
                <w:color w:val="000000"/>
                <w:sz w:val="22"/>
              </w:rPr>
            </w:pPr>
          </w:p>
        </w:tc>
      </w:tr>
      <w:tr w14:paraId="0F90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shd w:val="clear" w:color="auto" w:fill="auto"/>
            <w:vAlign w:val="center"/>
          </w:tcPr>
          <w:p w14:paraId="2C2648FA">
            <w:pPr>
              <w:jc w:val="center"/>
              <w:rPr>
                <w:rFonts w:ascii="宋体" w:hAnsi="宋体" w:eastAsia="宋体" w:cs="宋体"/>
                <w:color w:val="000000"/>
                <w:sz w:val="20"/>
                <w:szCs w:val="20"/>
              </w:rPr>
            </w:pPr>
          </w:p>
        </w:tc>
        <w:tc>
          <w:tcPr>
            <w:tcW w:w="825" w:type="dxa"/>
            <w:vMerge w:val="continue"/>
            <w:shd w:val="clear" w:color="auto" w:fill="auto"/>
            <w:vAlign w:val="center"/>
          </w:tcPr>
          <w:p w14:paraId="53CA6D45">
            <w:pPr>
              <w:jc w:val="left"/>
              <w:rPr>
                <w:rFonts w:ascii="宋体" w:hAnsi="宋体" w:eastAsia="宋体" w:cs="宋体"/>
                <w:color w:val="000000"/>
                <w:sz w:val="20"/>
                <w:szCs w:val="20"/>
              </w:rPr>
            </w:pPr>
          </w:p>
        </w:tc>
        <w:tc>
          <w:tcPr>
            <w:tcW w:w="5780" w:type="dxa"/>
            <w:shd w:val="clear" w:color="auto" w:fill="auto"/>
            <w:vAlign w:val="center"/>
          </w:tcPr>
          <w:p w14:paraId="17CED0BA">
            <w:pPr>
              <w:numPr>
                <w:ilvl w:val="0"/>
                <w:numId w:val="1"/>
              </w:numPr>
              <w:spacing w:line="240" w:lineRule="auto"/>
              <w:ind w:left="420" w:leftChars="0" w:hanging="420" w:firstLineChars="0"/>
              <w:jc w:val="left"/>
              <w:rPr>
                <w:rFonts w:ascii="宋体" w:hAnsi="宋体" w:eastAsia="宋体" w:cs="宋体"/>
                <w:color w:val="000000"/>
                <w:sz w:val="20"/>
                <w:szCs w:val="20"/>
              </w:rPr>
            </w:pPr>
            <w:r>
              <w:rPr>
                <w:rFonts w:hint="eastAsia" w:ascii="宋体" w:hAnsi="宋体" w:eastAsia="宋体" w:cs="宋体"/>
                <w:sz w:val="21"/>
                <w:szCs w:val="21"/>
              </w:rPr>
              <w:t>升降技术要求：全手摇升降可调式调节，每张课椅满足手摇升降调节行程不少于7cm，不少于（GB/T3976-2014《学校课桌椅功能尺寸及技术要求》）的5个连续的标示高度，可调节高度区间至少满足29</w:t>
            </w:r>
            <w:r>
              <w:rPr>
                <w:rFonts w:hint="eastAsia" w:ascii="宋体" w:hAnsi="宋体" w:eastAsia="宋体" w:cs="宋体"/>
                <w:sz w:val="21"/>
                <w:szCs w:val="21"/>
                <w:lang w:val="en-US" w:eastAsia="zh-CN"/>
              </w:rPr>
              <w:t>c</w:t>
            </w:r>
            <w:r>
              <w:rPr>
                <w:rFonts w:hint="eastAsia" w:ascii="宋体" w:hAnsi="宋体" w:eastAsia="宋体" w:cs="宋体"/>
                <w:sz w:val="21"/>
                <w:szCs w:val="21"/>
              </w:rPr>
              <w:t>m～36</w:t>
            </w:r>
            <w:r>
              <w:rPr>
                <w:rFonts w:hint="eastAsia" w:ascii="宋体" w:hAnsi="宋体" w:eastAsia="宋体" w:cs="宋体"/>
                <w:sz w:val="21"/>
                <w:szCs w:val="21"/>
                <w:lang w:val="en-US" w:eastAsia="zh-CN"/>
              </w:rPr>
              <w:t>c</w:t>
            </w:r>
            <w:r>
              <w:rPr>
                <w:rFonts w:hint="eastAsia" w:ascii="宋体" w:hAnsi="宋体" w:eastAsia="宋体" w:cs="宋体"/>
                <w:sz w:val="21"/>
                <w:szCs w:val="21"/>
              </w:rPr>
              <w:t>m、36</w:t>
            </w:r>
            <w:r>
              <w:rPr>
                <w:rFonts w:hint="eastAsia" w:ascii="宋体" w:hAnsi="宋体" w:eastAsia="宋体" w:cs="宋体"/>
                <w:sz w:val="21"/>
                <w:szCs w:val="21"/>
                <w:lang w:val="en-US" w:eastAsia="zh-CN"/>
              </w:rPr>
              <w:t>c</w:t>
            </w:r>
            <w:r>
              <w:rPr>
                <w:rFonts w:hint="eastAsia" w:ascii="宋体" w:hAnsi="宋体" w:eastAsia="宋体" w:cs="宋体"/>
                <w:sz w:val="21"/>
                <w:szCs w:val="21"/>
              </w:rPr>
              <w:t>m～46</w:t>
            </w:r>
            <w:r>
              <w:rPr>
                <w:rFonts w:hint="eastAsia" w:ascii="宋体" w:hAnsi="宋体" w:eastAsia="宋体" w:cs="宋体"/>
                <w:sz w:val="21"/>
                <w:szCs w:val="21"/>
                <w:lang w:val="en-US" w:eastAsia="zh-CN"/>
              </w:rPr>
              <w:t>c</w:t>
            </w:r>
            <w:r>
              <w:rPr>
                <w:rFonts w:hint="eastAsia" w:ascii="宋体" w:hAnsi="宋体" w:eastAsia="宋体" w:cs="宋体"/>
                <w:sz w:val="21"/>
                <w:szCs w:val="21"/>
              </w:rPr>
              <w:t>m，达到（GB/T3976-2014《学校课桌椅功能尺寸及技术要求》）要求。一把手摇柄可以满足该批全部课桌椅调节，每班（50套）标配2把。课椅选择的具体调节型号范围，中标后可根据使用年级另行确定，存在不同调节范围的情况，中标供应商无条件配合。</w:t>
            </w:r>
          </w:p>
        </w:tc>
        <w:tc>
          <w:tcPr>
            <w:tcW w:w="712" w:type="dxa"/>
            <w:vMerge w:val="continue"/>
            <w:shd w:val="clear" w:color="auto" w:fill="auto"/>
            <w:vAlign w:val="center"/>
          </w:tcPr>
          <w:p w14:paraId="742A2F2E">
            <w:pPr>
              <w:jc w:val="center"/>
              <w:rPr>
                <w:rFonts w:ascii="宋体" w:hAnsi="宋体" w:eastAsia="宋体" w:cs="宋体"/>
                <w:color w:val="000000"/>
                <w:sz w:val="20"/>
                <w:szCs w:val="20"/>
              </w:rPr>
            </w:pPr>
          </w:p>
        </w:tc>
        <w:tc>
          <w:tcPr>
            <w:tcW w:w="825" w:type="dxa"/>
            <w:vMerge w:val="continue"/>
            <w:shd w:val="clear" w:color="auto" w:fill="auto"/>
            <w:vAlign w:val="center"/>
          </w:tcPr>
          <w:p w14:paraId="11610015">
            <w:pPr>
              <w:jc w:val="center"/>
              <w:rPr>
                <w:rFonts w:ascii="宋体" w:hAnsi="宋体" w:eastAsia="宋体" w:cs="宋体"/>
                <w:color w:val="000000"/>
                <w:sz w:val="20"/>
                <w:szCs w:val="20"/>
              </w:rPr>
            </w:pPr>
          </w:p>
        </w:tc>
        <w:tc>
          <w:tcPr>
            <w:tcW w:w="672" w:type="dxa"/>
            <w:vMerge w:val="continue"/>
            <w:shd w:val="clear" w:color="auto" w:fill="auto"/>
            <w:noWrap/>
            <w:vAlign w:val="bottom"/>
          </w:tcPr>
          <w:p w14:paraId="514CEF95">
            <w:pPr>
              <w:rPr>
                <w:rFonts w:ascii="宋体" w:hAnsi="宋体" w:eastAsia="宋体" w:cs="宋体"/>
                <w:color w:val="000000"/>
                <w:sz w:val="22"/>
              </w:rPr>
            </w:pPr>
          </w:p>
        </w:tc>
      </w:tr>
    </w:tbl>
    <w:p w14:paraId="0739007D"/>
    <w:p w14:paraId="08F98DF6">
      <w:pPr>
        <w:rPr>
          <w:rFonts w:ascii="宋体" w:hAnsi="宋体"/>
        </w:rPr>
      </w:pPr>
      <w:r>
        <w:rPr>
          <w:rFonts w:ascii="宋体" w:hAnsi="宋体"/>
        </w:rPr>
        <w:br w:type="page"/>
      </w:r>
    </w:p>
    <w:p w14:paraId="54212EEF">
      <w:pPr>
        <w:numPr>
          <w:ilvl w:val="0"/>
          <w:numId w:val="3"/>
        </w:numPr>
        <w:autoSpaceDE w:val="0"/>
        <w:autoSpaceDN w:val="0"/>
        <w:adjustRightInd w:val="0"/>
        <w:spacing w:line="480" w:lineRule="auto"/>
        <w:outlineLvl w:val="0"/>
        <w:rPr>
          <w:rFonts w:hint="eastAsia"/>
          <w:b/>
          <w:sz w:val="24"/>
          <w:szCs w:val="24"/>
        </w:rPr>
      </w:pPr>
      <w:bookmarkStart w:id="1" w:name="_Hlk116397024"/>
      <w:r>
        <w:rPr>
          <w:rFonts w:hint="eastAsia"/>
          <w:b/>
          <w:sz w:val="24"/>
          <w:szCs w:val="24"/>
        </w:rPr>
        <w:t>评分准则</w:t>
      </w:r>
    </w:p>
    <w:tbl>
      <w:tblPr>
        <w:tblStyle w:val="1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284"/>
        <w:gridCol w:w="3155"/>
        <w:gridCol w:w="733"/>
        <w:gridCol w:w="610"/>
        <w:gridCol w:w="190"/>
        <w:gridCol w:w="540"/>
        <w:gridCol w:w="267"/>
        <w:gridCol w:w="739"/>
      </w:tblGrid>
      <w:tr w14:paraId="02EA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2"/>
          </w:tcPr>
          <w:p w14:paraId="094267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评审内容</w:t>
            </w:r>
          </w:p>
        </w:tc>
        <w:tc>
          <w:tcPr>
            <w:tcW w:w="3155" w:type="dxa"/>
            <w:vMerge w:val="restart"/>
          </w:tcPr>
          <w:p w14:paraId="0FAD208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相关说明</w:t>
            </w:r>
          </w:p>
        </w:tc>
        <w:tc>
          <w:tcPr>
            <w:tcW w:w="3079" w:type="dxa"/>
            <w:gridSpan w:val="6"/>
          </w:tcPr>
          <w:p w14:paraId="0E20BF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各供应商得分</w:t>
            </w:r>
          </w:p>
        </w:tc>
      </w:tr>
      <w:tr w14:paraId="472F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14:paraId="0F0E67F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总项</w:t>
            </w:r>
          </w:p>
        </w:tc>
        <w:tc>
          <w:tcPr>
            <w:tcW w:w="1284" w:type="dxa"/>
          </w:tcPr>
          <w:p w14:paraId="53F0BB3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eastAsiaTheme="minorEastAsia"/>
                <w:b/>
                <w:sz w:val="21"/>
                <w:szCs w:val="21"/>
                <w:vertAlign w:val="baseline"/>
                <w:lang w:val="en-US" w:eastAsia="zh-CN"/>
              </w:rPr>
            </w:pPr>
            <w:r>
              <w:rPr>
                <w:rFonts w:hint="eastAsia"/>
                <w:b/>
                <w:sz w:val="21"/>
                <w:szCs w:val="21"/>
                <w:vertAlign w:val="baseline"/>
                <w:lang w:val="en-US" w:eastAsia="zh-CN"/>
              </w:rPr>
              <w:t>分项</w:t>
            </w:r>
          </w:p>
        </w:tc>
        <w:tc>
          <w:tcPr>
            <w:tcW w:w="3155" w:type="dxa"/>
            <w:vMerge w:val="continue"/>
          </w:tcPr>
          <w:p w14:paraId="7BC130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3" w:type="dxa"/>
          </w:tcPr>
          <w:p w14:paraId="36FE91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10E3BE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62D966D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127DEDF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7929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14:paraId="23996B3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eastAsiaTheme="minorEastAsia"/>
                <w:b/>
                <w:sz w:val="21"/>
                <w:szCs w:val="21"/>
                <w:vertAlign w:val="baseline"/>
                <w:lang w:val="en-US" w:eastAsia="zh-CN"/>
              </w:rPr>
            </w:pPr>
            <w:r>
              <w:rPr>
                <w:rFonts w:hint="eastAsia"/>
                <w:b/>
                <w:sz w:val="21"/>
                <w:szCs w:val="21"/>
                <w:vertAlign w:val="baseline"/>
                <w:lang w:val="en-US" w:eastAsia="zh-CN"/>
              </w:rPr>
              <w:t>价格部分（30分）</w:t>
            </w:r>
          </w:p>
        </w:tc>
        <w:tc>
          <w:tcPr>
            <w:tcW w:w="1284" w:type="dxa"/>
          </w:tcPr>
          <w:p w14:paraId="36D1C9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eastAsiaTheme="minorEastAsia"/>
                <w:b/>
                <w:sz w:val="21"/>
                <w:szCs w:val="21"/>
                <w:vertAlign w:val="baseline"/>
                <w:lang w:val="en-US" w:eastAsia="zh-CN"/>
              </w:rPr>
            </w:pPr>
            <w:r>
              <w:rPr>
                <w:rFonts w:hint="eastAsia"/>
                <w:b/>
                <w:sz w:val="21"/>
                <w:szCs w:val="21"/>
                <w:vertAlign w:val="baseline"/>
                <w:lang w:val="en-US" w:eastAsia="zh-CN"/>
              </w:rPr>
              <w:t>价格（30）</w:t>
            </w:r>
          </w:p>
        </w:tc>
        <w:tc>
          <w:tcPr>
            <w:tcW w:w="3155" w:type="dxa"/>
          </w:tcPr>
          <w:p w14:paraId="3BEC40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lang w:val="en-US" w:eastAsia="zh-CN"/>
              </w:rPr>
            </w:pPr>
            <w:r>
              <w:rPr>
                <w:rFonts w:hint="eastAsia"/>
                <w:b/>
                <w:sz w:val="21"/>
                <w:szCs w:val="21"/>
                <w:vertAlign w:val="baseline"/>
                <w:lang w:val="en-US" w:eastAsia="zh-CN"/>
              </w:rPr>
              <w:t>以最低价为基准价，</w:t>
            </w:r>
          </w:p>
          <w:p w14:paraId="0280521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得分=30-30（报价-基准价）/基准价</w:t>
            </w:r>
          </w:p>
        </w:tc>
        <w:tc>
          <w:tcPr>
            <w:tcW w:w="733" w:type="dxa"/>
          </w:tcPr>
          <w:p w14:paraId="17EA40C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1E5B285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0858626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53C8C0E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24E0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vAlign w:val="center"/>
          </w:tcPr>
          <w:p w14:paraId="45C521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b/>
                <w:sz w:val="21"/>
                <w:szCs w:val="21"/>
                <w:vertAlign w:val="baseline"/>
              </w:rPr>
            </w:pPr>
            <w:r>
              <w:rPr>
                <w:rFonts w:hint="eastAsia"/>
                <w:b/>
                <w:sz w:val="21"/>
                <w:szCs w:val="21"/>
                <w:vertAlign w:val="baseline"/>
              </w:rPr>
              <w:t>技术部分(5</w:t>
            </w:r>
            <w:r>
              <w:rPr>
                <w:rFonts w:hint="eastAsia"/>
                <w:b/>
                <w:sz w:val="21"/>
                <w:szCs w:val="21"/>
                <w:vertAlign w:val="baseline"/>
                <w:lang w:val="en-US" w:eastAsia="zh-CN"/>
              </w:rPr>
              <w:t>0</w:t>
            </w:r>
            <w:r>
              <w:rPr>
                <w:rFonts w:hint="eastAsia"/>
                <w:b/>
                <w:sz w:val="21"/>
                <w:szCs w:val="21"/>
                <w:vertAlign w:val="baseline"/>
              </w:rPr>
              <w:t>分)</w:t>
            </w:r>
          </w:p>
        </w:tc>
        <w:tc>
          <w:tcPr>
            <w:tcW w:w="1284" w:type="dxa"/>
          </w:tcPr>
          <w:p w14:paraId="055AEC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ascii="微软雅黑" w:hAnsi="微软雅黑" w:eastAsia="微软雅黑" w:cs="微软雅黑"/>
                <w:kern w:val="0"/>
                <w:sz w:val="21"/>
                <w:szCs w:val="21"/>
                <w:lang w:eastAsia="zh-CN" w:bidi="ar"/>
              </w:rPr>
            </w:pPr>
            <w:r>
              <w:rPr>
                <w:rFonts w:hint="eastAsia" w:ascii="微软雅黑" w:hAnsi="微软雅黑" w:eastAsia="微软雅黑" w:cs="微软雅黑"/>
                <w:kern w:val="0"/>
                <w:sz w:val="21"/>
                <w:szCs w:val="21"/>
                <w:lang w:bidi="ar"/>
              </w:rPr>
              <w:t>非“▲”号技术参数响应程度评价</w:t>
            </w:r>
            <w:r>
              <w:rPr>
                <w:rFonts w:hint="eastAsia" w:ascii="微软雅黑" w:hAnsi="微软雅黑" w:eastAsia="微软雅黑" w:cs="微软雅黑"/>
                <w:kern w:val="0"/>
                <w:sz w:val="21"/>
                <w:szCs w:val="21"/>
                <w:lang w:eastAsia="zh-CN" w:bidi="ar"/>
              </w:rPr>
              <w:t>（</w:t>
            </w:r>
            <w:r>
              <w:rPr>
                <w:rFonts w:hint="eastAsia" w:ascii="微软雅黑" w:hAnsi="微软雅黑" w:eastAsia="微软雅黑" w:cs="微软雅黑"/>
                <w:kern w:val="0"/>
                <w:sz w:val="21"/>
                <w:szCs w:val="21"/>
                <w:lang w:val="en-US" w:eastAsia="zh-CN" w:bidi="ar"/>
              </w:rPr>
              <w:t>15</w:t>
            </w:r>
            <w:r>
              <w:rPr>
                <w:rFonts w:hint="eastAsia" w:ascii="微软雅黑" w:hAnsi="微软雅黑" w:eastAsia="微软雅黑" w:cs="微软雅黑"/>
                <w:kern w:val="0"/>
                <w:sz w:val="21"/>
                <w:szCs w:val="21"/>
                <w:lang w:eastAsia="zh-CN" w:bidi="ar"/>
              </w:rPr>
              <w:t>）</w:t>
            </w:r>
          </w:p>
        </w:tc>
        <w:tc>
          <w:tcPr>
            <w:tcW w:w="3155" w:type="dxa"/>
          </w:tcPr>
          <w:p w14:paraId="1FAE93B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以投标文件《技术规格偏离表》为评价依据，完全符合招标要求的，得</w:t>
            </w:r>
            <w:r>
              <w:rPr>
                <w:rFonts w:hint="eastAsia"/>
                <w:lang w:val="en-US" w:eastAsia="zh-CN"/>
              </w:rPr>
              <w:t>15</w:t>
            </w:r>
            <w:r>
              <w:rPr>
                <w:rFonts w:hint="eastAsia"/>
              </w:rPr>
              <w:t>分，非“▲”号技术参数条款共</w:t>
            </w:r>
            <w:r>
              <w:rPr>
                <w:rFonts w:hint="eastAsia"/>
                <w:lang w:val="en-US" w:eastAsia="zh-CN"/>
              </w:rPr>
              <w:t>36</w:t>
            </w:r>
            <w:r>
              <w:rPr>
                <w:rFonts w:hint="eastAsia"/>
              </w:rPr>
              <w:t>条，有1项非“▲”技术参数不符合要求的扣</w:t>
            </w:r>
            <w:r>
              <w:rPr>
                <w:rFonts w:hint="eastAsia"/>
                <w:lang w:val="en-US" w:eastAsia="zh-CN"/>
              </w:rPr>
              <w:t>0.4</w:t>
            </w:r>
            <w:r>
              <w:rPr>
                <w:rFonts w:hint="eastAsia"/>
              </w:rPr>
              <w:t>分，最低0</w:t>
            </w:r>
            <w:r>
              <w:rPr>
                <w:rFonts w:hint="eastAsia"/>
                <w:lang w:val="en-US" w:eastAsia="zh-CN"/>
              </w:rPr>
              <w:t>.6</w:t>
            </w:r>
            <w:r>
              <w:rPr>
                <w:rFonts w:hint="eastAsia"/>
              </w:rPr>
              <w:t>分。</w:t>
            </w:r>
          </w:p>
        </w:tc>
        <w:tc>
          <w:tcPr>
            <w:tcW w:w="733" w:type="dxa"/>
          </w:tcPr>
          <w:p w14:paraId="1CBB5AF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1B4629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42EC88B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04C8993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37F5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Pr>
          <w:p w14:paraId="53B7CA6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1284" w:type="dxa"/>
            <w:shd w:val="clear" w:color="auto" w:fill="FFFFFF"/>
            <w:vAlign w:val="center"/>
          </w:tcPr>
          <w:p w14:paraId="096D9C6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bidi="ar"/>
              </w:rPr>
              <w:t>“▲”号技术参数响应程度评价</w:t>
            </w:r>
            <w:r>
              <w:rPr>
                <w:rFonts w:hint="eastAsia" w:ascii="微软雅黑" w:hAnsi="微软雅黑" w:eastAsia="微软雅黑" w:cs="微软雅黑"/>
                <w:kern w:val="0"/>
                <w:sz w:val="21"/>
                <w:szCs w:val="21"/>
                <w:lang w:eastAsia="zh-CN" w:bidi="ar"/>
              </w:rPr>
              <w:t>（</w:t>
            </w:r>
            <w:r>
              <w:rPr>
                <w:rFonts w:hint="eastAsia" w:ascii="微软雅黑" w:hAnsi="微软雅黑" w:eastAsia="微软雅黑" w:cs="微软雅黑"/>
                <w:kern w:val="0"/>
                <w:sz w:val="21"/>
                <w:szCs w:val="21"/>
                <w:lang w:val="en-US" w:eastAsia="zh-CN" w:bidi="ar"/>
              </w:rPr>
              <w:t>30</w:t>
            </w:r>
            <w:r>
              <w:rPr>
                <w:rFonts w:hint="eastAsia" w:ascii="微软雅黑" w:hAnsi="微软雅黑" w:eastAsia="微软雅黑" w:cs="微软雅黑"/>
                <w:kern w:val="0"/>
                <w:sz w:val="21"/>
                <w:szCs w:val="21"/>
                <w:lang w:eastAsia="zh-CN" w:bidi="ar"/>
              </w:rPr>
              <w:t>）</w:t>
            </w:r>
          </w:p>
        </w:tc>
        <w:tc>
          <w:tcPr>
            <w:tcW w:w="3155" w:type="dxa"/>
          </w:tcPr>
          <w:p w14:paraId="522073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以投标文件《技术规格偏离表》为评价依据，完全符合招标要求的，得</w:t>
            </w:r>
            <w:r>
              <w:rPr>
                <w:rFonts w:hint="eastAsia"/>
                <w:lang w:val="en-US" w:eastAsia="zh-CN"/>
              </w:rPr>
              <w:t>30</w:t>
            </w:r>
            <w:r>
              <w:rPr>
                <w:rFonts w:hint="eastAsia"/>
              </w:rPr>
              <w:t>分，“▲”号技术参数条款共</w:t>
            </w:r>
            <w:r>
              <w:rPr>
                <w:rFonts w:hint="eastAsia"/>
                <w:lang w:val="en-US" w:eastAsia="zh-CN"/>
              </w:rPr>
              <w:t>6</w:t>
            </w:r>
            <w:r>
              <w:rPr>
                <w:rFonts w:hint="eastAsia"/>
              </w:rPr>
              <w:t>条，有1项“▲”技术参数不符合要求的扣</w:t>
            </w:r>
            <w:r>
              <w:rPr>
                <w:rFonts w:hint="eastAsia"/>
                <w:lang w:val="en-US" w:eastAsia="zh-CN"/>
              </w:rPr>
              <w:t>5</w:t>
            </w:r>
            <w:r>
              <w:rPr>
                <w:rFonts w:hint="eastAsia"/>
              </w:rPr>
              <w:t>分，最低0分。</w:t>
            </w:r>
          </w:p>
        </w:tc>
        <w:tc>
          <w:tcPr>
            <w:tcW w:w="733" w:type="dxa"/>
          </w:tcPr>
          <w:p w14:paraId="39A7B99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7495FF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15AFFCC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1F5F5BE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7BD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Pr>
          <w:p w14:paraId="069D491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1284" w:type="dxa"/>
            <w:shd w:val="clear" w:color="auto" w:fill="FFFFFF"/>
            <w:vAlign w:val="center"/>
          </w:tcPr>
          <w:p w14:paraId="378F534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bidi="ar"/>
              </w:rPr>
            </w:pPr>
            <w:r>
              <w:rPr>
                <w:rFonts w:hint="eastAsia" w:ascii="微软雅黑" w:hAnsi="微软雅黑" w:eastAsia="微软雅黑" w:cs="微软雅黑"/>
                <w:kern w:val="0"/>
                <w:sz w:val="21"/>
                <w:szCs w:val="21"/>
                <w:lang w:bidi="ar"/>
              </w:rPr>
              <w:t>项目组织实施方案的评价</w:t>
            </w:r>
            <w:r>
              <w:rPr>
                <w:rFonts w:hint="eastAsia" w:ascii="微软雅黑" w:hAnsi="微软雅黑" w:eastAsia="微软雅黑" w:cs="微软雅黑"/>
                <w:kern w:val="0"/>
                <w:sz w:val="21"/>
                <w:szCs w:val="21"/>
                <w:lang w:eastAsia="zh-CN" w:bidi="ar"/>
              </w:rPr>
              <w:t>（</w:t>
            </w:r>
            <w:r>
              <w:rPr>
                <w:rFonts w:hint="eastAsia" w:ascii="微软雅黑" w:hAnsi="微软雅黑" w:eastAsia="微软雅黑" w:cs="微软雅黑"/>
                <w:kern w:val="0"/>
                <w:sz w:val="21"/>
                <w:szCs w:val="21"/>
                <w:lang w:val="en-US" w:eastAsia="zh-CN" w:bidi="ar"/>
              </w:rPr>
              <w:t>5</w:t>
            </w:r>
            <w:r>
              <w:rPr>
                <w:rFonts w:hint="eastAsia" w:ascii="微软雅黑" w:hAnsi="微软雅黑" w:eastAsia="微软雅黑" w:cs="微软雅黑"/>
                <w:kern w:val="0"/>
                <w:sz w:val="21"/>
                <w:szCs w:val="21"/>
                <w:lang w:eastAsia="zh-CN" w:bidi="ar"/>
              </w:rPr>
              <w:t>）</w:t>
            </w:r>
          </w:p>
        </w:tc>
        <w:tc>
          <w:tcPr>
            <w:tcW w:w="3155" w:type="dxa"/>
          </w:tcPr>
          <w:p w14:paraId="084CD68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（一）评审内容：投标人提供本项目的组织实施方案，方案中应包含 1、项目进度计划安排 2、施工组织计划 3、验收组织计划 4、产品培训方案 （二）评审标准：方案中含有上述一个内容得</w:t>
            </w:r>
            <w:r>
              <w:rPr>
                <w:rFonts w:hint="eastAsia"/>
                <w:lang w:val="en-US" w:eastAsia="zh-CN"/>
              </w:rPr>
              <w:t>0.5</w:t>
            </w:r>
            <w:r>
              <w:rPr>
                <w:rFonts w:hint="eastAsia"/>
              </w:rPr>
              <w:t>分。在此基础上，对方案的合理性、可行性进行打分。 1、方案清晰周密、合理可行、表述完整、方法得当、技术先进、符合相关规范要求得</w:t>
            </w:r>
            <w:r>
              <w:rPr>
                <w:rFonts w:hint="eastAsia"/>
                <w:lang w:val="en-US" w:eastAsia="zh-CN"/>
              </w:rPr>
              <w:t>3</w:t>
            </w:r>
            <w:r>
              <w:rPr>
                <w:rFonts w:hint="eastAsia"/>
              </w:rPr>
              <w:t>分。 2、方案基本可行表述基本完整得</w:t>
            </w:r>
            <w:r>
              <w:rPr>
                <w:rFonts w:hint="eastAsia"/>
                <w:lang w:val="en-US" w:eastAsia="zh-CN"/>
              </w:rPr>
              <w:t>1</w:t>
            </w:r>
            <w:r>
              <w:rPr>
                <w:rFonts w:hint="eastAsia"/>
              </w:rPr>
              <w:t>分。 3、未提供或方案计划不切合本项目的实际情况、合理完善性差、可行性差的对应项不得分。</w:t>
            </w:r>
          </w:p>
        </w:tc>
        <w:tc>
          <w:tcPr>
            <w:tcW w:w="733" w:type="dxa"/>
          </w:tcPr>
          <w:p w14:paraId="3D12C30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50267E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507241B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3D23912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074C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vAlign w:val="center"/>
          </w:tcPr>
          <w:p w14:paraId="2A00E6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b/>
                <w:sz w:val="21"/>
                <w:szCs w:val="21"/>
                <w:vertAlign w:val="baseline"/>
              </w:rPr>
            </w:pPr>
            <w:r>
              <w:rPr>
                <w:rFonts w:hint="eastAsia"/>
                <w:b/>
                <w:sz w:val="21"/>
                <w:szCs w:val="21"/>
                <w:vertAlign w:val="baseline"/>
              </w:rPr>
              <w:t>商务部分(</w:t>
            </w:r>
            <w:r>
              <w:rPr>
                <w:rFonts w:hint="eastAsia"/>
                <w:b/>
                <w:sz w:val="21"/>
                <w:szCs w:val="21"/>
                <w:vertAlign w:val="baseline"/>
                <w:lang w:val="en-US" w:eastAsia="zh-CN"/>
              </w:rPr>
              <w:t>20</w:t>
            </w:r>
            <w:r>
              <w:rPr>
                <w:rFonts w:hint="eastAsia"/>
                <w:b/>
                <w:sz w:val="21"/>
                <w:szCs w:val="21"/>
                <w:vertAlign w:val="baseline"/>
              </w:rPr>
              <w:t>分)</w:t>
            </w:r>
          </w:p>
        </w:tc>
        <w:tc>
          <w:tcPr>
            <w:tcW w:w="1284" w:type="dxa"/>
            <w:vAlign w:val="center"/>
          </w:tcPr>
          <w:p w14:paraId="69EB1E7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bidi="ar"/>
              </w:rPr>
            </w:pPr>
            <w:r>
              <w:rPr>
                <w:rFonts w:hint="eastAsia" w:ascii="微软雅黑" w:hAnsi="微软雅黑" w:eastAsia="微软雅黑" w:cs="微软雅黑"/>
                <w:kern w:val="0"/>
                <w:sz w:val="21"/>
                <w:szCs w:val="21"/>
                <w:lang w:bidi="ar"/>
              </w:rPr>
              <w:t>售后服务评价</w:t>
            </w:r>
            <w:r>
              <w:rPr>
                <w:rFonts w:hint="eastAsia" w:ascii="微软雅黑" w:hAnsi="微软雅黑" w:eastAsia="微软雅黑" w:cs="微软雅黑"/>
                <w:kern w:val="0"/>
                <w:sz w:val="21"/>
                <w:szCs w:val="21"/>
                <w:lang w:eastAsia="zh-CN" w:bidi="ar"/>
              </w:rPr>
              <w:t>（</w:t>
            </w:r>
            <w:r>
              <w:rPr>
                <w:rFonts w:hint="eastAsia" w:ascii="微软雅黑" w:hAnsi="微软雅黑" w:eastAsia="微软雅黑" w:cs="微软雅黑"/>
                <w:kern w:val="0"/>
                <w:sz w:val="21"/>
                <w:szCs w:val="21"/>
                <w:lang w:val="en-US" w:eastAsia="zh-CN" w:bidi="ar"/>
              </w:rPr>
              <w:t>9</w:t>
            </w:r>
            <w:r>
              <w:rPr>
                <w:rFonts w:hint="eastAsia" w:ascii="微软雅黑" w:hAnsi="微软雅黑" w:eastAsia="微软雅黑" w:cs="微软雅黑"/>
                <w:kern w:val="0"/>
                <w:sz w:val="21"/>
                <w:szCs w:val="21"/>
                <w:lang w:eastAsia="zh-CN" w:bidi="ar"/>
              </w:rPr>
              <w:t>）</w:t>
            </w:r>
          </w:p>
        </w:tc>
        <w:tc>
          <w:tcPr>
            <w:tcW w:w="3155" w:type="dxa"/>
          </w:tcPr>
          <w:p w14:paraId="47FD4D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（一）评审内容：投标人提供本项目的售后服务方案，方案中应包含 1、服务内容 2、维修应急方案 3、培训计划 4、其他特色服务等 （二）评审标准：方案中含有上述一个内容得</w:t>
            </w:r>
            <w:r>
              <w:rPr>
                <w:rFonts w:hint="eastAsia"/>
                <w:lang w:val="en-US" w:eastAsia="zh-CN"/>
              </w:rPr>
              <w:t>1</w:t>
            </w:r>
            <w:r>
              <w:rPr>
                <w:rFonts w:hint="eastAsia"/>
              </w:rPr>
              <w:t>分。在此基础上，对方案的合理性、可行性进行打分。 (1)售后服务方案非常详细，保障措施完善可行，得</w:t>
            </w:r>
            <w:r>
              <w:rPr>
                <w:rFonts w:hint="eastAsia"/>
                <w:lang w:val="en-US" w:eastAsia="zh-CN"/>
              </w:rPr>
              <w:t>5</w:t>
            </w:r>
            <w:r>
              <w:rPr>
                <w:rFonts w:hint="eastAsia"/>
              </w:rPr>
              <w:t>分； (2)售后服务方案比较具体，保障措施比较完善可行，能够满足招标文件要求的得</w:t>
            </w:r>
            <w:r>
              <w:rPr>
                <w:rFonts w:hint="eastAsia"/>
                <w:lang w:val="en-US" w:eastAsia="zh-CN"/>
              </w:rPr>
              <w:t>1</w:t>
            </w:r>
            <w:r>
              <w:rPr>
                <w:rFonts w:hint="eastAsia"/>
              </w:rPr>
              <w:t>分； (3)未提供售后服务方案和措施或方案不详细、可行性较差，无法满足招标文件要求的得0分。</w:t>
            </w:r>
          </w:p>
        </w:tc>
        <w:tc>
          <w:tcPr>
            <w:tcW w:w="733" w:type="dxa"/>
          </w:tcPr>
          <w:p w14:paraId="56A408D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184A045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46D164A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428069A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3531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Pr>
          <w:p w14:paraId="5DD6501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1284" w:type="dxa"/>
            <w:vAlign w:val="center"/>
          </w:tcPr>
          <w:p w14:paraId="4F1A4F3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相关业绩（6）</w:t>
            </w:r>
          </w:p>
        </w:tc>
        <w:tc>
          <w:tcPr>
            <w:tcW w:w="3155" w:type="dxa"/>
          </w:tcPr>
          <w:p w14:paraId="755857C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2022年1月1日（以合同签订日期为准）以后，投标人具有与本项目同类（课桌椅类）项目经验，且履约评价为优或满意（或同等评价），每提供一个得</w:t>
            </w:r>
            <w:r>
              <w:rPr>
                <w:rFonts w:hint="eastAsia"/>
                <w:lang w:val="en-US" w:eastAsia="zh-CN"/>
              </w:rPr>
              <w:t>1</w:t>
            </w:r>
            <w:r>
              <w:rPr>
                <w:rFonts w:hint="eastAsia"/>
              </w:rPr>
              <w:t>分，最高得</w:t>
            </w:r>
            <w:r>
              <w:rPr>
                <w:rFonts w:hint="eastAsia"/>
                <w:lang w:val="en-US" w:eastAsia="zh-CN"/>
              </w:rPr>
              <w:t>6</w:t>
            </w:r>
            <w:r>
              <w:rPr>
                <w:rFonts w:hint="eastAsia"/>
              </w:rPr>
              <w:t>分。</w:t>
            </w:r>
          </w:p>
          <w:p w14:paraId="0A3CFC2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证明材料：</w:t>
            </w:r>
          </w:p>
          <w:p w14:paraId="6757697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rPr>
            </w:pPr>
            <w:r>
              <w:rPr>
                <w:rFonts w:hint="eastAsia"/>
              </w:rPr>
              <w:t>1、同时提供以下：（1）合同关键页扫描件；（2）设备配置清单扫描件；（3）验收报告[加盖合同甲方公章（或甲方业务章）]；（4）履约评价证明[加盖合同甲方公章（或甲方业务章）]。</w:t>
            </w:r>
          </w:p>
        </w:tc>
        <w:tc>
          <w:tcPr>
            <w:tcW w:w="733" w:type="dxa"/>
          </w:tcPr>
          <w:p w14:paraId="57DE3D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072C809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6101740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3D0204B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7316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Pr>
          <w:p w14:paraId="3A5667B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1284" w:type="dxa"/>
            <w:vAlign w:val="center"/>
          </w:tcPr>
          <w:p w14:paraId="5015CA0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bidi="ar"/>
              </w:rPr>
            </w:pPr>
            <w:r>
              <w:rPr>
                <w:rFonts w:hint="eastAsia" w:ascii="微软雅黑" w:hAnsi="微软雅黑" w:eastAsia="微软雅黑" w:cs="微软雅黑"/>
                <w:kern w:val="0"/>
                <w:sz w:val="21"/>
                <w:szCs w:val="21"/>
                <w:lang w:bidi="ar"/>
              </w:rPr>
              <w:t>诚信</w:t>
            </w:r>
            <w:r>
              <w:rPr>
                <w:rFonts w:hint="eastAsia" w:ascii="微软雅黑" w:hAnsi="微软雅黑" w:eastAsia="微软雅黑" w:cs="微软雅黑"/>
                <w:kern w:val="0"/>
                <w:sz w:val="21"/>
                <w:szCs w:val="21"/>
                <w:lang w:eastAsia="zh-CN" w:bidi="ar"/>
              </w:rPr>
              <w:t>（</w:t>
            </w:r>
            <w:r>
              <w:rPr>
                <w:rFonts w:hint="eastAsia" w:ascii="微软雅黑" w:hAnsi="微软雅黑" w:eastAsia="微软雅黑" w:cs="微软雅黑"/>
                <w:kern w:val="0"/>
                <w:sz w:val="21"/>
                <w:szCs w:val="21"/>
                <w:lang w:val="en-US" w:eastAsia="zh-CN" w:bidi="ar"/>
              </w:rPr>
              <w:t>5</w:t>
            </w:r>
            <w:r>
              <w:rPr>
                <w:rFonts w:hint="eastAsia" w:ascii="微软雅黑" w:hAnsi="微软雅黑" w:eastAsia="微软雅黑" w:cs="微软雅黑"/>
                <w:kern w:val="0"/>
                <w:sz w:val="21"/>
                <w:szCs w:val="21"/>
                <w:lang w:eastAsia="zh-CN" w:bidi="ar"/>
              </w:rPr>
              <w:t>）</w:t>
            </w:r>
          </w:p>
        </w:tc>
        <w:tc>
          <w:tcPr>
            <w:tcW w:w="3155" w:type="dxa"/>
          </w:tcPr>
          <w:p w14:paraId="2B1CC1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ascii="微软雅黑" w:hAnsi="微软雅黑" w:cs="微软雅黑" w:eastAsiaTheme="minorEastAsia"/>
                <w:kern w:val="0"/>
                <w:sz w:val="21"/>
                <w:szCs w:val="21"/>
                <w:lang w:val="en-US" w:eastAsia="zh-CN" w:bidi="ar"/>
              </w:rPr>
            </w:pPr>
            <w:r>
              <w:rPr>
                <w:rFonts w:hint="eastAsia"/>
              </w:rPr>
              <w:t>如在参与各级采购活动中出现诚信相关问题且在相关主管部门处理措施实施期限内的本项不得分，否则得满分。投标人</w:t>
            </w:r>
            <w:r>
              <w:rPr>
                <w:rFonts w:hint="eastAsia"/>
                <w:lang w:val="en-US" w:eastAsia="zh-CN"/>
              </w:rPr>
              <w:t>提供</w:t>
            </w:r>
            <w:r>
              <w:rPr>
                <w:rFonts w:hint="eastAsia"/>
              </w:rPr>
              <w:t>通过“信用中国”网站（www.creditchina.gov.cn）、“中国政府采购网”（www.ccgp.gov.cn）、“深圳市政府采购监督管理网”（www.zfcg.sz.gov.cn）等3个渠道查询相关主体信用记录</w:t>
            </w:r>
            <w:r>
              <w:rPr>
                <w:rFonts w:hint="eastAsia"/>
                <w:lang w:val="en-US" w:eastAsia="zh-CN"/>
              </w:rPr>
              <w:t>截图</w:t>
            </w:r>
            <w:r>
              <w:rPr>
                <w:rFonts w:hint="eastAsia"/>
              </w:rPr>
              <w:t>。</w:t>
            </w:r>
          </w:p>
        </w:tc>
        <w:tc>
          <w:tcPr>
            <w:tcW w:w="733" w:type="dxa"/>
          </w:tcPr>
          <w:p w14:paraId="4C5C2EF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2C31489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645D87E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4126E10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6C4C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14:paraId="19A508C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合计分数值</w:t>
            </w:r>
          </w:p>
        </w:tc>
        <w:tc>
          <w:tcPr>
            <w:tcW w:w="1284" w:type="dxa"/>
          </w:tcPr>
          <w:p w14:paraId="681D878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3155" w:type="dxa"/>
          </w:tcPr>
          <w:p w14:paraId="689EB5D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3" w:type="dxa"/>
          </w:tcPr>
          <w:p w14:paraId="4BD6205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0" w:type="dxa"/>
            <w:gridSpan w:val="2"/>
          </w:tcPr>
          <w:p w14:paraId="5EB4302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807" w:type="dxa"/>
            <w:gridSpan w:val="2"/>
          </w:tcPr>
          <w:p w14:paraId="2ECCCD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9" w:type="dxa"/>
          </w:tcPr>
          <w:p w14:paraId="0FAB2F0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4422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14:paraId="5E263C0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评审意见</w:t>
            </w:r>
          </w:p>
        </w:tc>
        <w:tc>
          <w:tcPr>
            <w:tcW w:w="7518" w:type="dxa"/>
            <w:gridSpan w:val="8"/>
          </w:tcPr>
          <w:p w14:paraId="7E8DF62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r w14:paraId="4571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14:paraId="70D6BC8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评审人签名</w:t>
            </w:r>
          </w:p>
        </w:tc>
        <w:tc>
          <w:tcPr>
            <w:tcW w:w="5782" w:type="dxa"/>
            <w:gridSpan w:val="4"/>
          </w:tcPr>
          <w:p w14:paraId="0EF4DA1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c>
          <w:tcPr>
            <w:tcW w:w="730" w:type="dxa"/>
            <w:gridSpan w:val="2"/>
          </w:tcPr>
          <w:p w14:paraId="13F3B6D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default" w:eastAsiaTheme="minorEastAsia"/>
                <w:b/>
                <w:sz w:val="21"/>
                <w:szCs w:val="21"/>
                <w:vertAlign w:val="baseline"/>
                <w:lang w:val="en-US" w:eastAsia="zh-CN"/>
              </w:rPr>
            </w:pPr>
            <w:r>
              <w:rPr>
                <w:rFonts w:hint="eastAsia"/>
                <w:b/>
                <w:sz w:val="21"/>
                <w:szCs w:val="21"/>
                <w:vertAlign w:val="baseline"/>
                <w:lang w:val="en-US" w:eastAsia="zh-CN"/>
              </w:rPr>
              <w:t>评审日期</w:t>
            </w:r>
          </w:p>
        </w:tc>
        <w:tc>
          <w:tcPr>
            <w:tcW w:w="1006" w:type="dxa"/>
            <w:gridSpan w:val="2"/>
          </w:tcPr>
          <w:p w14:paraId="18B225B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outlineLvl w:val="9"/>
              <w:rPr>
                <w:rFonts w:hint="eastAsia"/>
                <w:b/>
                <w:sz w:val="21"/>
                <w:szCs w:val="21"/>
                <w:vertAlign w:val="baseline"/>
              </w:rPr>
            </w:pPr>
          </w:p>
        </w:tc>
      </w:tr>
    </w:tbl>
    <w:p w14:paraId="75B13A70">
      <w:pPr>
        <w:numPr>
          <w:ilvl w:val="0"/>
          <w:numId w:val="0"/>
        </w:numPr>
        <w:autoSpaceDE w:val="0"/>
        <w:autoSpaceDN w:val="0"/>
        <w:adjustRightInd w:val="0"/>
        <w:spacing w:line="480" w:lineRule="auto"/>
        <w:outlineLvl w:val="9"/>
        <w:rPr>
          <w:rFonts w:hint="eastAsia"/>
          <w:b/>
          <w:sz w:val="24"/>
          <w:szCs w:val="24"/>
        </w:rPr>
      </w:pPr>
    </w:p>
    <w:bookmarkEnd w:id="1"/>
    <w:p w14:paraId="69D2BF46"/>
    <w:p w14:paraId="6BA60387">
      <w:pPr>
        <w:autoSpaceDE w:val="0"/>
        <w:autoSpaceDN w:val="0"/>
        <w:adjustRightInd w:val="0"/>
        <w:spacing w:line="480" w:lineRule="auto"/>
        <w:outlineLvl w:val="0"/>
        <w:rPr>
          <w:rFonts w:asciiTheme="minorEastAsia" w:hAnsiTheme="minorEastAsia"/>
          <w:b/>
          <w:sz w:val="22"/>
          <w:szCs w:val="24"/>
          <w:lang w:val="zh-CN"/>
        </w:rPr>
      </w:pPr>
    </w:p>
    <w:p w14:paraId="5AE23552">
      <w:pPr>
        <w:rPr>
          <w:rFonts w:asciiTheme="minorEastAsia" w:hAnsiTheme="minorEastAsia"/>
          <w:b/>
          <w:sz w:val="22"/>
          <w:szCs w:val="24"/>
          <w:lang w:val="zh-CN"/>
        </w:rPr>
      </w:pPr>
      <w:r>
        <w:rPr>
          <w:rFonts w:hint="eastAsia" w:asciiTheme="minorEastAsia" w:hAnsiTheme="minorEastAsia"/>
          <w:b/>
          <w:sz w:val="22"/>
          <w:szCs w:val="24"/>
          <w:lang w:val="zh-CN"/>
        </w:rPr>
        <w:br w:type="page"/>
      </w:r>
    </w:p>
    <w:p w14:paraId="33247E8E">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七、投标书格式</w:t>
      </w:r>
    </w:p>
    <w:p w14:paraId="1A17D96A">
      <w:pPr>
        <w:widowControl/>
        <w:jc w:val="left"/>
        <w:rPr>
          <w:i/>
        </w:rPr>
      </w:pPr>
    </w:p>
    <w:p w14:paraId="1FFC8A75">
      <w:pPr>
        <w:widowControl/>
        <w:jc w:val="left"/>
        <w:rPr>
          <w:i/>
        </w:rPr>
      </w:pPr>
      <w:r>
        <w:rPr>
          <w:rFonts w:hint="eastAsia"/>
          <w:i/>
        </w:rPr>
        <w:t>投标文件封面</w:t>
      </w:r>
    </w:p>
    <w:p w14:paraId="365860E7">
      <w:pPr>
        <w:spacing w:line="480" w:lineRule="auto"/>
        <w:jc w:val="right"/>
        <w:rPr>
          <w:rFonts w:ascii="宋体" w:hAnsi="宋体"/>
          <w:b/>
          <w:sz w:val="36"/>
          <w:szCs w:val="36"/>
        </w:rPr>
      </w:pPr>
      <w:r>
        <w:rPr>
          <w:rFonts w:hint="eastAsia" w:ascii="宋体" w:hAnsi="宋体"/>
          <w:b/>
          <w:sz w:val="36"/>
          <w:szCs w:val="36"/>
        </w:rPr>
        <w:t>正/副本</w:t>
      </w:r>
    </w:p>
    <w:p w14:paraId="778A52CF">
      <w:pPr>
        <w:spacing w:line="480" w:lineRule="auto"/>
        <w:jc w:val="center"/>
        <w:rPr>
          <w:rFonts w:ascii="宋体" w:hAnsi="宋体"/>
          <w:b/>
          <w:sz w:val="44"/>
          <w:szCs w:val="44"/>
        </w:rPr>
      </w:pPr>
    </w:p>
    <w:p w14:paraId="1097C7B0">
      <w:pPr>
        <w:spacing w:before="240" w:line="480" w:lineRule="auto"/>
        <w:jc w:val="center"/>
        <w:rPr>
          <w:rFonts w:ascii="宋体" w:hAnsi="宋体"/>
          <w:b/>
          <w:sz w:val="52"/>
          <w:szCs w:val="44"/>
        </w:rPr>
      </w:pPr>
    </w:p>
    <w:p w14:paraId="29D46169">
      <w:pPr>
        <w:spacing w:before="240" w:line="480" w:lineRule="auto"/>
        <w:jc w:val="center"/>
        <w:rPr>
          <w:rFonts w:ascii="宋体" w:hAnsi="宋体"/>
          <w:b/>
          <w:sz w:val="48"/>
          <w:szCs w:val="44"/>
        </w:rPr>
      </w:pPr>
      <w:r>
        <w:rPr>
          <w:rFonts w:hint="eastAsia" w:ascii="宋体" w:hAnsi="宋体"/>
          <w:b/>
          <w:sz w:val="48"/>
          <w:szCs w:val="44"/>
        </w:rPr>
        <w:t>投标文件</w:t>
      </w:r>
    </w:p>
    <w:p w14:paraId="53A9D501">
      <w:pPr>
        <w:spacing w:before="240"/>
        <w:rPr>
          <w:rFonts w:ascii="宋体" w:hAnsi="宋体"/>
          <w:sz w:val="44"/>
          <w:szCs w:val="44"/>
        </w:rPr>
      </w:pPr>
    </w:p>
    <w:p w14:paraId="355D7BBA">
      <w:pPr>
        <w:rPr>
          <w:rFonts w:ascii="宋体" w:hAnsi="宋体"/>
          <w:sz w:val="44"/>
          <w:szCs w:val="44"/>
        </w:rPr>
      </w:pPr>
    </w:p>
    <w:p w14:paraId="5E606BC8">
      <w:pPr>
        <w:rPr>
          <w:rFonts w:ascii="宋体" w:hAnsi="宋体"/>
          <w:sz w:val="44"/>
          <w:szCs w:val="44"/>
        </w:rPr>
      </w:pPr>
    </w:p>
    <w:p w14:paraId="3413AFFF">
      <w:pPr>
        <w:rPr>
          <w:rFonts w:ascii="宋体" w:hAnsi="宋体"/>
          <w:sz w:val="44"/>
          <w:szCs w:val="44"/>
        </w:rPr>
      </w:pPr>
    </w:p>
    <w:p w14:paraId="7253A964">
      <w:pPr>
        <w:rPr>
          <w:rFonts w:ascii="宋体" w:hAnsi="宋体"/>
          <w:sz w:val="44"/>
          <w:szCs w:val="44"/>
        </w:rPr>
      </w:pPr>
    </w:p>
    <w:p w14:paraId="0E9666C7">
      <w:pPr>
        <w:rPr>
          <w:rFonts w:ascii="宋体" w:hAnsi="宋体"/>
          <w:sz w:val="44"/>
          <w:szCs w:val="44"/>
        </w:rPr>
      </w:pPr>
    </w:p>
    <w:p w14:paraId="3AF1A71A">
      <w:pPr>
        <w:rPr>
          <w:rFonts w:ascii="宋体" w:hAnsi="宋体"/>
          <w:sz w:val="44"/>
          <w:szCs w:val="44"/>
        </w:rPr>
      </w:pPr>
    </w:p>
    <w:p w14:paraId="63A45CDF">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ascii="宋体" w:hAnsi="宋体"/>
          <w:sz w:val="28"/>
          <w:szCs w:val="28"/>
          <w:u w:val="single"/>
        </w:rPr>
        <w:t xml:space="preserve">         </w:t>
      </w:r>
    </w:p>
    <w:p w14:paraId="338BBB57">
      <w:pPr>
        <w:spacing w:line="480" w:lineRule="auto"/>
        <w:ind w:firstLine="1400" w:firstLineChars="500"/>
        <w:rPr>
          <w:rFonts w:ascii="宋体" w:hAnsi="宋体"/>
          <w:sz w:val="28"/>
          <w:szCs w:val="28"/>
          <w:u w:val="single"/>
        </w:rPr>
      </w:pPr>
      <w:r>
        <w:rPr>
          <w:rFonts w:hint="eastAsia" w:ascii="宋体" w:hAnsi="宋体"/>
          <w:sz w:val="28"/>
          <w:szCs w:val="28"/>
        </w:rPr>
        <w:t>投标单位（盖章）：</w:t>
      </w:r>
      <w:r>
        <w:rPr>
          <w:rFonts w:hint="eastAsia" w:ascii="宋体" w:hAnsi="宋体"/>
          <w:sz w:val="28"/>
          <w:szCs w:val="28"/>
          <w:u w:val="single"/>
        </w:rPr>
        <w:t xml:space="preserve">                       </w:t>
      </w:r>
    </w:p>
    <w:p w14:paraId="129EDAC4">
      <w:pPr>
        <w:spacing w:line="360" w:lineRule="auto"/>
        <w:ind w:firstLine="1400" w:firstLineChars="500"/>
        <w:rPr>
          <w:rFonts w:ascii="宋体" w:hAnsi="宋体"/>
          <w:sz w:val="28"/>
          <w:szCs w:val="28"/>
        </w:rPr>
      </w:pPr>
      <w:r>
        <w:rPr>
          <w:rFonts w:hint="eastAsia" w:ascii="宋体" w:hAnsi="宋体"/>
          <w:sz w:val="28"/>
          <w:szCs w:val="28"/>
        </w:rPr>
        <w:t>投标日期：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月 </w:t>
      </w:r>
      <w:r>
        <w:rPr>
          <w:rFonts w:ascii="宋体" w:hAnsi="宋体"/>
          <w:sz w:val="28"/>
          <w:szCs w:val="28"/>
          <w:u w:val="single"/>
        </w:rPr>
        <w:t xml:space="preserve">   </w:t>
      </w:r>
      <w:r>
        <w:rPr>
          <w:rFonts w:hint="eastAsia" w:ascii="宋体" w:hAnsi="宋体"/>
          <w:sz w:val="28"/>
          <w:szCs w:val="28"/>
        </w:rPr>
        <w:t>日</w:t>
      </w:r>
    </w:p>
    <w:p w14:paraId="733B42BA">
      <w:pPr>
        <w:pStyle w:val="22"/>
        <w:ind w:firstLine="420"/>
      </w:pPr>
      <w:r>
        <w:br w:type="page"/>
      </w:r>
    </w:p>
    <w:p w14:paraId="437BDC3F">
      <w:pPr>
        <w:pStyle w:val="2"/>
        <w:pageBreakBefore/>
        <w:jc w:val="center"/>
      </w:pPr>
      <w:r>
        <w:rPr>
          <w:rFonts w:hint="eastAsia"/>
        </w:rPr>
        <w:t>1、投标承诺书</w:t>
      </w:r>
    </w:p>
    <w:p w14:paraId="01BD2E57">
      <w:pPr>
        <w:widowControl/>
        <w:spacing w:line="600" w:lineRule="exact"/>
        <w:rPr>
          <w:rFonts w:eastAsia="宋体"/>
          <w:szCs w:val="21"/>
        </w:rPr>
      </w:pPr>
      <w:r>
        <w:rPr>
          <w:rFonts w:hint="eastAsia" w:ascii="宋体" w:hAnsi="宋体"/>
          <w:b/>
          <w:spacing w:val="6"/>
          <w:kern w:val="11"/>
          <w:szCs w:val="24"/>
        </w:rPr>
        <w:t>致</w:t>
      </w:r>
      <w:r>
        <w:rPr>
          <w:rFonts w:ascii="宋体" w:hAnsi="宋体"/>
          <w:b/>
          <w:spacing w:val="6"/>
          <w:kern w:val="11"/>
          <w:szCs w:val="24"/>
        </w:rPr>
        <w:t>:</w:t>
      </w:r>
      <w:r>
        <w:rPr>
          <w:rFonts w:hint="eastAsia"/>
        </w:rPr>
        <w:t xml:space="preserve"> </w:t>
      </w:r>
      <w:r>
        <w:rPr>
          <w:rFonts w:hint="eastAsia" w:ascii="宋体" w:hAnsi="宋体"/>
          <w:b/>
          <w:spacing w:val="6"/>
          <w:kern w:val="11"/>
          <w:szCs w:val="24"/>
          <w:u w:val="single"/>
        </w:rPr>
        <w:t xml:space="preserve"> 深圳明德实验学校（集团） </w:t>
      </w:r>
    </w:p>
    <w:p w14:paraId="51A75DBA">
      <w:pPr>
        <w:spacing w:after="156" w:afterLines="50"/>
        <w:ind w:firstLine="420" w:firstLineChars="200"/>
        <w:rPr>
          <w:szCs w:val="21"/>
        </w:rPr>
      </w:pPr>
      <w:r>
        <w:rPr>
          <w:rFonts w:hint="eastAsia"/>
          <w:szCs w:val="21"/>
        </w:rPr>
        <w:t>1、根据已收到贵方的</w:t>
      </w:r>
      <w:r>
        <w:rPr>
          <w:rFonts w:hint="eastAsia"/>
          <w:b/>
          <w:szCs w:val="21"/>
          <w:u w:val="single"/>
        </w:rPr>
        <w:t xml:space="preserve">               </w:t>
      </w:r>
      <w:r>
        <w:rPr>
          <w:rFonts w:hint="eastAsia"/>
          <w:szCs w:val="21"/>
        </w:rPr>
        <w:t>项目的招标文件，遵照 《中华人民共和国政府采购法》和《</w:t>
      </w:r>
      <w:r>
        <w:fldChar w:fldCharType="begin"/>
      </w:r>
      <w:r>
        <w:instrText xml:space="preserve"> HYPERLINK "http://lh.szzfcg.cn/viewer.do?id=21950184" \t "documentViewer21950184" \o "深圳经济特区政府采购条例" </w:instrText>
      </w:r>
      <w:r>
        <w:fldChar w:fldCharType="separate"/>
      </w:r>
      <w:r>
        <w:rPr>
          <w:szCs w:val="21"/>
        </w:rPr>
        <w:t>深圳经济特区政府采购条例</w:t>
      </w:r>
      <w:r>
        <w:rPr>
          <w:szCs w:val="21"/>
        </w:rPr>
        <w:fldChar w:fldCharType="end"/>
      </w:r>
      <w:r>
        <w:rPr>
          <w:rFonts w:hint="eastAsia"/>
          <w:szCs w:val="21"/>
        </w:rPr>
        <w:t>》等有关规定，我单位经考察现场和研究上述招标文件的投标须知、合同条款、技术规范、图纸及所有相关文件后，我方完全认可贵方提供的上述文件，并愿以开标一览表中的投标报价并按招标文件要求承包上述项目并修补其任何缺陷。</w:t>
      </w:r>
    </w:p>
    <w:p w14:paraId="1CC3832A">
      <w:pPr>
        <w:spacing w:after="156" w:afterLines="50"/>
        <w:ind w:firstLine="411" w:firstLineChars="196"/>
        <w:rPr>
          <w:rFonts w:ascii="宋体" w:hAnsi="宋体"/>
          <w:szCs w:val="21"/>
        </w:rPr>
      </w:pPr>
      <w:r>
        <w:rPr>
          <w:rFonts w:hint="eastAsia" w:ascii="宋体" w:hAnsi="宋体"/>
          <w:szCs w:val="21"/>
        </w:rPr>
        <w:t>2、我方同意所递交的投标文件在招标文件规定的投标有效期内有效，在此期间内我方的投标有可能中标，我方将受此约束。如果在投标有效期内撤回其投标，其投标保证金将全部被没收。</w:t>
      </w:r>
    </w:p>
    <w:p w14:paraId="138B9D87">
      <w:pPr>
        <w:spacing w:after="156" w:afterLines="50"/>
        <w:ind w:firstLine="411" w:firstLineChars="196"/>
        <w:rPr>
          <w:rFonts w:ascii="宋体" w:hAnsi="宋体"/>
          <w:szCs w:val="21"/>
        </w:rPr>
      </w:pPr>
      <w:r>
        <w:rPr>
          <w:rFonts w:hint="eastAsia" w:ascii="宋体" w:hAnsi="宋体"/>
          <w:szCs w:val="21"/>
        </w:rPr>
        <w:t>3、除非另外达成协议并生效，贵方的中标通知书和本投标文件将构成约束我们双方的合同。</w:t>
      </w:r>
    </w:p>
    <w:p w14:paraId="6E271184">
      <w:pPr>
        <w:spacing w:after="156" w:afterLines="50"/>
        <w:ind w:firstLine="411" w:firstLineChars="196"/>
        <w:rPr>
          <w:rFonts w:ascii="宋体" w:hAnsi="宋体"/>
          <w:szCs w:val="21"/>
        </w:rPr>
      </w:pPr>
      <w:r>
        <w:rPr>
          <w:rFonts w:hint="eastAsia" w:ascii="宋体" w:hAnsi="宋体"/>
          <w:szCs w:val="21"/>
        </w:rPr>
        <w:t>4、我方理解贵方将不受必须接受所收到的最低标价或其它任何投标文件的约束。</w:t>
      </w:r>
    </w:p>
    <w:p w14:paraId="6BD7EE1C">
      <w:pPr>
        <w:spacing w:after="156" w:afterLines="50"/>
        <w:ind w:firstLine="411" w:firstLineChars="196"/>
      </w:pPr>
      <w:r>
        <w:rPr>
          <w:rFonts w:hint="eastAsia" w:ascii="宋体" w:hAnsi="宋体"/>
          <w:szCs w:val="21"/>
        </w:rPr>
        <w:t>5、</w:t>
      </w:r>
      <w:r>
        <w:rPr>
          <w:rFonts w:hint="eastAsia"/>
        </w:rPr>
        <w:t>我方保证，所提供的货物在提供给采购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14:paraId="55D69D6F">
      <w:pPr>
        <w:spacing w:after="156" w:afterLines="50"/>
        <w:ind w:firstLine="411" w:firstLineChars="196"/>
      </w:pPr>
      <w:r>
        <w:rPr>
          <w:rFonts w:hint="eastAsia"/>
        </w:rPr>
        <w:t>6、我方保证，</w:t>
      </w:r>
      <w:r>
        <w:rPr>
          <w:rFonts w:hint="eastAsia" w:ascii="宋体" w:hAnsi="宋体"/>
          <w:szCs w:val="24"/>
        </w:rPr>
        <w:t>我方近三</w:t>
      </w:r>
      <w:r>
        <w:rPr>
          <w:rFonts w:ascii="宋体" w:hAnsi="宋体"/>
          <w:szCs w:val="24"/>
        </w:rPr>
        <w:t>年</w:t>
      </w:r>
      <w:r>
        <w:rPr>
          <w:rFonts w:hint="eastAsia" w:ascii="宋体" w:hAnsi="宋体"/>
          <w:szCs w:val="24"/>
        </w:rPr>
        <w:t>来</w:t>
      </w:r>
      <w:r>
        <w:rPr>
          <w:rFonts w:ascii="宋体" w:hAnsi="宋体"/>
          <w:szCs w:val="24"/>
        </w:rPr>
        <w:t>在</w:t>
      </w:r>
      <w:r>
        <w:rPr>
          <w:rFonts w:hint="eastAsia" w:ascii="宋体" w:hAnsi="宋体"/>
          <w:szCs w:val="24"/>
        </w:rPr>
        <w:t>政府采购及建设系统的</w:t>
      </w:r>
      <w:r>
        <w:rPr>
          <w:rFonts w:ascii="宋体" w:hAnsi="宋体"/>
          <w:szCs w:val="24"/>
        </w:rPr>
        <w:t>招投标活动中</w:t>
      </w:r>
      <w:r>
        <w:rPr>
          <w:rFonts w:hint="eastAsia" w:ascii="宋体" w:hAnsi="宋体"/>
          <w:szCs w:val="24"/>
        </w:rPr>
        <w:t>无违法违纪行为；</w:t>
      </w:r>
      <w:r>
        <w:rPr>
          <w:rFonts w:hint="eastAsia"/>
        </w:rPr>
        <w:t>参与本次投标时不在受到禁止参与政府采购活动的行政处罚期间内；并且没有在招投标活动中因串通投标被暂停投标资格期间或涉嫌串通投标并正在接受主管部门调查的情况。</w:t>
      </w:r>
    </w:p>
    <w:p w14:paraId="25628F81">
      <w:pPr>
        <w:spacing w:after="156" w:afterLines="50"/>
        <w:ind w:firstLine="411" w:firstLineChars="196"/>
        <w:rPr>
          <w:rFonts w:ascii="宋体" w:hAnsi="宋体"/>
          <w:szCs w:val="21"/>
        </w:rPr>
      </w:pPr>
      <w:r>
        <w:rPr>
          <w:rFonts w:hint="eastAsia" w:ascii="宋体" w:hAnsi="宋体"/>
          <w:szCs w:val="21"/>
        </w:rPr>
        <w:t>7、一旦我方中标，我方承诺在收到中标通知书后,积极联系贵单位，在3个工作日内与贵单位签订供货合同，除非因贵单位原因造成时间延误，否则，贵方有权废除我方的中标资格，我方对此无任何异议，并承担相关责任。</w:t>
      </w:r>
    </w:p>
    <w:p w14:paraId="51281C15">
      <w:pPr>
        <w:spacing w:after="156" w:afterLines="50"/>
        <w:ind w:firstLine="411" w:firstLineChars="196"/>
        <w:rPr>
          <w:rFonts w:ascii="宋体" w:hAnsi="宋体"/>
          <w:szCs w:val="21"/>
        </w:rPr>
      </w:pPr>
      <w:r>
        <w:rPr>
          <w:rFonts w:hint="eastAsia" w:ascii="宋体" w:hAnsi="宋体"/>
          <w:szCs w:val="21"/>
        </w:rPr>
        <w:t>8、我方已完全理解本项目招标需求，并保证完全按照本项目招标需求提供服务。</w:t>
      </w:r>
    </w:p>
    <w:p w14:paraId="0ACA31C4">
      <w:pPr>
        <w:spacing w:after="156" w:afterLines="50"/>
        <w:ind w:firstLine="411" w:firstLineChars="196"/>
        <w:rPr>
          <w:rFonts w:ascii="宋体" w:hAnsi="宋体"/>
          <w:color w:val="FF0000"/>
          <w:szCs w:val="21"/>
        </w:rPr>
      </w:pPr>
    </w:p>
    <w:p w14:paraId="09E3E168">
      <w:pPr>
        <w:spacing w:after="156" w:afterLines="50"/>
        <w:ind w:firstLine="411" w:firstLineChars="196"/>
        <w:rPr>
          <w:rFonts w:ascii="宋体" w:hAnsi="宋体"/>
          <w:szCs w:val="21"/>
        </w:rPr>
      </w:pPr>
      <w:r>
        <w:rPr>
          <w:rFonts w:hint="eastAsia" w:ascii="宋体" w:hAnsi="宋体"/>
          <w:szCs w:val="21"/>
        </w:rPr>
        <w:t>投标单位（盖章）：</w:t>
      </w:r>
      <w:r>
        <w:rPr>
          <w:rFonts w:hint="eastAsia" w:ascii="宋体" w:hAnsi="宋体"/>
          <w:szCs w:val="21"/>
          <w:u w:val="single"/>
        </w:rPr>
        <w:t xml:space="preserve">                   </w:t>
      </w:r>
    </w:p>
    <w:p w14:paraId="064B04EA">
      <w:pPr>
        <w:spacing w:after="156" w:afterLines="50"/>
        <w:ind w:firstLine="411" w:firstLineChars="196"/>
        <w:rPr>
          <w:rFonts w:ascii="宋体" w:hAnsi="宋体"/>
          <w:szCs w:val="21"/>
        </w:rPr>
      </w:pPr>
      <w:r>
        <w:rPr>
          <w:rFonts w:hint="eastAsia" w:ascii="宋体" w:hAnsi="宋体"/>
          <w:szCs w:val="21"/>
        </w:rPr>
        <w:t>单位地址：</w:t>
      </w:r>
      <w:r>
        <w:rPr>
          <w:rFonts w:hint="eastAsia" w:ascii="宋体" w:hAnsi="宋体"/>
          <w:szCs w:val="21"/>
          <w:u w:val="single"/>
        </w:rPr>
        <w:t xml:space="preserve">                     </w:t>
      </w:r>
    </w:p>
    <w:p w14:paraId="070825FB">
      <w:pPr>
        <w:spacing w:after="156" w:afterLines="50"/>
        <w:ind w:firstLine="411" w:firstLineChars="196"/>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p>
    <w:p w14:paraId="5EA5BEA9">
      <w:pPr>
        <w:spacing w:after="156" w:afterLines="50"/>
        <w:ind w:firstLine="411" w:firstLineChars="196"/>
        <w:rPr>
          <w:rFonts w:ascii="宋体" w:hAnsi="宋体"/>
          <w:szCs w:val="21"/>
        </w:rPr>
      </w:pPr>
      <w:r>
        <w:rPr>
          <w:rFonts w:hint="eastAsia" w:ascii="宋体" w:hAnsi="宋体"/>
          <w:szCs w:val="21"/>
        </w:rPr>
        <w:t>电话：</w:t>
      </w:r>
      <w:r>
        <w:rPr>
          <w:rFonts w:hint="eastAsia" w:ascii="宋体" w:hAnsi="宋体"/>
          <w:szCs w:val="21"/>
          <w:u w:val="single"/>
        </w:rPr>
        <w:t xml:space="preserve">            </w:t>
      </w:r>
    </w:p>
    <w:p w14:paraId="1790473E">
      <w:pPr>
        <w:spacing w:after="156" w:afterLines="50"/>
        <w:ind w:firstLine="411" w:firstLineChars="196"/>
        <w:rPr>
          <w:rFonts w:ascii="宋体" w:hAnsi="宋体"/>
          <w:szCs w:val="21"/>
        </w:rPr>
      </w:pPr>
      <w:r>
        <w:rPr>
          <w:rFonts w:hint="eastAsia" w:ascii="宋体" w:hAnsi="宋体"/>
          <w:szCs w:val="21"/>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509D3F1">
      <w:pPr>
        <w:spacing w:line="360" w:lineRule="auto"/>
        <w:ind w:firstLine="1405" w:firstLineChars="500"/>
        <w:rPr>
          <w:rFonts w:ascii="宋体" w:hAnsi="宋体"/>
          <w:b/>
          <w:sz w:val="28"/>
          <w:szCs w:val="28"/>
        </w:rPr>
      </w:pPr>
    </w:p>
    <w:p w14:paraId="351483CB">
      <w:pPr>
        <w:widowControl/>
        <w:jc w:val="left"/>
        <w:rPr>
          <w:rFonts w:ascii="长城仿宋"/>
          <w:kern w:val="0"/>
          <w:szCs w:val="20"/>
        </w:rPr>
      </w:pPr>
      <w:r>
        <w:br w:type="page"/>
      </w:r>
    </w:p>
    <w:p w14:paraId="6F10C1E8">
      <w:pPr>
        <w:pStyle w:val="2"/>
        <w:pageBreakBefore/>
        <w:jc w:val="center"/>
      </w:pPr>
      <w:r>
        <w:rPr>
          <w:rFonts w:hint="eastAsia"/>
        </w:rPr>
        <w:t>2、开标一览表</w:t>
      </w:r>
    </w:p>
    <w:p w14:paraId="70EBE634">
      <w:pPr>
        <w:spacing w:line="360" w:lineRule="auto"/>
        <w:rPr>
          <w:rFonts w:ascii="宋体" w:hAnsi="宋体"/>
          <w:szCs w:val="21"/>
          <w:u w:val="single"/>
        </w:rPr>
      </w:pPr>
      <w:r>
        <w:rPr>
          <w:rFonts w:hint="eastAsia" w:ascii="宋体" w:hAnsi="宋体"/>
          <w:color w:val="FFFFFF"/>
          <w:szCs w:val="21"/>
        </w:rPr>
        <w:t>编号:</w:t>
      </w:r>
    </w:p>
    <w:tbl>
      <w:tblPr>
        <w:tblStyle w:val="1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10"/>
        <w:gridCol w:w="1372"/>
        <w:gridCol w:w="2058"/>
        <w:gridCol w:w="1037"/>
      </w:tblGrid>
      <w:tr w14:paraId="0D92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701" w:type="dxa"/>
            <w:vAlign w:val="center"/>
          </w:tcPr>
          <w:p w14:paraId="24EB3BB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项目编号</w:t>
            </w:r>
          </w:p>
        </w:tc>
        <w:tc>
          <w:tcPr>
            <w:tcW w:w="2410" w:type="dxa"/>
            <w:vAlign w:val="center"/>
          </w:tcPr>
          <w:p w14:paraId="6F5EF22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项目名称</w:t>
            </w:r>
          </w:p>
        </w:tc>
        <w:tc>
          <w:tcPr>
            <w:tcW w:w="1372" w:type="dxa"/>
            <w:vAlign w:val="center"/>
          </w:tcPr>
          <w:p w14:paraId="287CF37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投标总价</w:t>
            </w:r>
          </w:p>
        </w:tc>
        <w:tc>
          <w:tcPr>
            <w:tcW w:w="2058" w:type="dxa"/>
            <w:vAlign w:val="center"/>
          </w:tcPr>
          <w:p w14:paraId="5C9453A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交货期</w:t>
            </w:r>
          </w:p>
        </w:tc>
        <w:tc>
          <w:tcPr>
            <w:tcW w:w="1037" w:type="dxa"/>
            <w:vAlign w:val="center"/>
          </w:tcPr>
          <w:p w14:paraId="4158FA9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备注</w:t>
            </w:r>
          </w:p>
        </w:tc>
      </w:tr>
      <w:tr w14:paraId="5068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701" w:type="dxa"/>
            <w:vAlign w:val="center"/>
          </w:tcPr>
          <w:p w14:paraId="3FE2E2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2410" w:type="dxa"/>
            <w:vAlign w:val="center"/>
          </w:tcPr>
          <w:p w14:paraId="7E12896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1372" w:type="dxa"/>
            <w:vAlign w:val="center"/>
          </w:tcPr>
          <w:p w14:paraId="282E5E82">
            <w:pPr>
              <w:rPr>
                <w:rFonts w:ascii="宋体" w:hAnsi="宋体"/>
                <w:snapToGrid w:val="0"/>
                <w:kern w:val="0"/>
              </w:rPr>
            </w:pPr>
            <w:r>
              <w:rPr>
                <w:rFonts w:hint="eastAsia" w:ascii="宋体" w:hAnsi="宋体"/>
                <w:snapToGrid w:val="0"/>
                <w:kern w:val="0"/>
              </w:rPr>
              <w:t>大写：</w:t>
            </w:r>
          </w:p>
          <w:p w14:paraId="15EC614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napToGrid w:val="0"/>
                <w:kern w:val="0"/>
              </w:rPr>
              <w:t>小写：</w:t>
            </w:r>
          </w:p>
        </w:tc>
        <w:tc>
          <w:tcPr>
            <w:tcW w:w="2058" w:type="dxa"/>
            <w:vAlign w:val="center"/>
          </w:tcPr>
          <w:p w14:paraId="285D395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p>
        </w:tc>
        <w:tc>
          <w:tcPr>
            <w:tcW w:w="1037" w:type="dxa"/>
            <w:vAlign w:val="center"/>
          </w:tcPr>
          <w:p w14:paraId="1B6D6FD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r>
    </w:tbl>
    <w:p w14:paraId="466737A4"/>
    <w:p w14:paraId="00CE77EE"/>
    <w:p w14:paraId="0BDBA7C7">
      <w:pPr>
        <w:spacing w:line="360" w:lineRule="auto"/>
      </w:pPr>
      <w:r>
        <w:rPr>
          <w:rFonts w:hint="eastAsia"/>
        </w:rPr>
        <w:t>投标单位（</w:t>
      </w:r>
      <w:r>
        <w:t>盖章</w:t>
      </w:r>
      <w:r>
        <w:rPr>
          <w:rFonts w:hint="eastAsia"/>
        </w:rPr>
        <w:t>）</w:t>
      </w:r>
      <w:r>
        <w:t>：</w:t>
      </w:r>
    </w:p>
    <w:p w14:paraId="04C02742">
      <w:pPr>
        <w:spacing w:line="360" w:lineRule="auto"/>
      </w:pPr>
      <w:r>
        <w:rPr>
          <w:rFonts w:hint="eastAsia"/>
        </w:rPr>
        <w:t>法定代表人或其委托代理人：</w:t>
      </w:r>
      <w:r>
        <w:t>（签字）：</w:t>
      </w:r>
    </w:p>
    <w:p w14:paraId="5AAEC32A">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14:paraId="7D81FC95">
      <w:pPr>
        <w:widowControl/>
        <w:jc w:val="left"/>
        <w:rPr>
          <w:rFonts w:ascii="长城仿宋"/>
          <w:kern w:val="0"/>
          <w:szCs w:val="20"/>
        </w:rPr>
      </w:pPr>
      <w:r>
        <w:br w:type="page"/>
      </w:r>
    </w:p>
    <w:p w14:paraId="7EC3CBDF">
      <w:pPr>
        <w:pStyle w:val="2"/>
        <w:pageBreakBefore/>
        <w:jc w:val="center"/>
      </w:pPr>
      <w:r>
        <w:t>3</w:t>
      </w:r>
      <w:r>
        <w:rPr>
          <w:rFonts w:hint="eastAsia"/>
        </w:rPr>
        <w:t>、分项报价清单</w:t>
      </w:r>
    </w:p>
    <w:tbl>
      <w:tblPr>
        <w:tblStyle w:val="15"/>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53"/>
        <w:gridCol w:w="1381"/>
        <w:gridCol w:w="693"/>
        <w:gridCol w:w="693"/>
        <w:gridCol w:w="693"/>
        <w:gridCol w:w="1381"/>
        <w:gridCol w:w="1271"/>
      </w:tblGrid>
      <w:tr w14:paraId="5E07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shd w:val="clear" w:color="auto" w:fill="auto"/>
            <w:vAlign w:val="center"/>
          </w:tcPr>
          <w:p w14:paraId="38713202">
            <w:pPr>
              <w:spacing w:line="360" w:lineRule="auto"/>
              <w:rPr>
                <w:rFonts w:ascii="宋体" w:hAnsi="宋体" w:cs="Arial"/>
                <w:b/>
                <w:bCs/>
                <w:szCs w:val="21"/>
              </w:rPr>
            </w:pPr>
            <w:r>
              <w:rPr>
                <w:rFonts w:hint="eastAsia" w:ascii="宋体" w:hAnsi="宋体" w:cs="Arial"/>
                <w:b/>
                <w:bCs/>
                <w:szCs w:val="21"/>
              </w:rPr>
              <w:t>序号</w:t>
            </w:r>
          </w:p>
        </w:tc>
        <w:tc>
          <w:tcPr>
            <w:tcW w:w="1153" w:type="dxa"/>
            <w:shd w:val="clear" w:color="auto" w:fill="auto"/>
            <w:vAlign w:val="center"/>
          </w:tcPr>
          <w:p w14:paraId="69984446">
            <w:pPr>
              <w:spacing w:line="360" w:lineRule="auto"/>
              <w:rPr>
                <w:rFonts w:ascii="宋体" w:hAnsi="宋体" w:cs="Arial"/>
                <w:b/>
                <w:bCs/>
                <w:szCs w:val="21"/>
              </w:rPr>
            </w:pPr>
            <w:r>
              <w:rPr>
                <w:rFonts w:hint="eastAsia" w:ascii="宋体" w:hAnsi="宋体" w:cs="Arial"/>
                <w:b/>
                <w:bCs/>
                <w:szCs w:val="21"/>
              </w:rPr>
              <w:t>货物名称</w:t>
            </w:r>
          </w:p>
        </w:tc>
        <w:tc>
          <w:tcPr>
            <w:tcW w:w="1381" w:type="dxa"/>
            <w:shd w:val="clear" w:color="auto" w:fill="auto"/>
            <w:vAlign w:val="center"/>
          </w:tcPr>
          <w:p w14:paraId="1180318F">
            <w:pPr>
              <w:spacing w:line="360" w:lineRule="auto"/>
              <w:rPr>
                <w:rFonts w:ascii="宋体" w:hAnsi="宋体" w:cs="Arial"/>
                <w:b/>
                <w:bCs/>
                <w:szCs w:val="21"/>
              </w:rPr>
            </w:pPr>
            <w:r>
              <w:rPr>
                <w:rFonts w:hint="eastAsia" w:ascii="宋体" w:hAnsi="宋体" w:cs="Arial"/>
                <w:b/>
                <w:bCs/>
                <w:szCs w:val="21"/>
              </w:rPr>
              <w:t>规格及型号</w:t>
            </w:r>
          </w:p>
        </w:tc>
        <w:tc>
          <w:tcPr>
            <w:tcW w:w="693" w:type="dxa"/>
            <w:shd w:val="clear" w:color="auto" w:fill="auto"/>
            <w:vAlign w:val="center"/>
          </w:tcPr>
          <w:p w14:paraId="7DFA05A6">
            <w:pPr>
              <w:spacing w:line="360" w:lineRule="auto"/>
              <w:rPr>
                <w:rFonts w:ascii="宋体" w:hAnsi="宋体" w:cs="Arial"/>
                <w:b/>
                <w:bCs/>
                <w:szCs w:val="21"/>
              </w:rPr>
            </w:pPr>
            <w:r>
              <w:rPr>
                <w:rFonts w:hint="eastAsia" w:ascii="宋体" w:hAnsi="宋体" w:cs="Arial"/>
                <w:b/>
                <w:bCs/>
                <w:szCs w:val="21"/>
              </w:rPr>
              <w:t>品牌</w:t>
            </w:r>
          </w:p>
        </w:tc>
        <w:tc>
          <w:tcPr>
            <w:tcW w:w="693" w:type="dxa"/>
            <w:shd w:val="clear" w:color="auto" w:fill="auto"/>
            <w:vAlign w:val="center"/>
          </w:tcPr>
          <w:p w14:paraId="7BB7B52D">
            <w:pPr>
              <w:spacing w:line="360" w:lineRule="auto"/>
              <w:rPr>
                <w:rFonts w:ascii="宋体" w:hAnsi="宋体" w:cs="Arial"/>
                <w:b/>
                <w:bCs/>
                <w:szCs w:val="21"/>
              </w:rPr>
            </w:pPr>
            <w:r>
              <w:rPr>
                <w:rFonts w:hint="eastAsia" w:ascii="宋体" w:hAnsi="宋体" w:cs="Arial"/>
                <w:b/>
                <w:bCs/>
                <w:szCs w:val="21"/>
              </w:rPr>
              <w:t>数量</w:t>
            </w:r>
          </w:p>
        </w:tc>
        <w:tc>
          <w:tcPr>
            <w:tcW w:w="693" w:type="dxa"/>
            <w:vAlign w:val="center"/>
          </w:tcPr>
          <w:p w14:paraId="51AE7390">
            <w:pPr>
              <w:spacing w:line="360" w:lineRule="auto"/>
              <w:jc w:val="center"/>
              <w:rPr>
                <w:rFonts w:ascii="宋体" w:hAnsi="宋体" w:cs="Arial"/>
                <w:b/>
                <w:bCs/>
                <w:szCs w:val="21"/>
              </w:rPr>
            </w:pPr>
            <w:r>
              <w:rPr>
                <w:rFonts w:hint="eastAsia" w:ascii="宋体" w:hAnsi="宋体" w:cs="Arial"/>
                <w:b/>
                <w:bCs/>
                <w:szCs w:val="21"/>
              </w:rPr>
              <w:t>单位</w:t>
            </w:r>
          </w:p>
        </w:tc>
        <w:tc>
          <w:tcPr>
            <w:tcW w:w="1381" w:type="dxa"/>
            <w:shd w:val="clear" w:color="auto" w:fill="auto"/>
            <w:vAlign w:val="center"/>
          </w:tcPr>
          <w:p w14:paraId="2C942AAA">
            <w:pPr>
              <w:spacing w:line="360" w:lineRule="auto"/>
              <w:rPr>
                <w:rFonts w:ascii="宋体" w:hAnsi="宋体" w:cs="Arial"/>
                <w:b/>
                <w:bCs/>
                <w:szCs w:val="21"/>
              </w:rPr>
            </w:pPr>
            <w:r>
              <w:rPr>
                <w:rFonts w:hint="eastAsia" w:ascii="宋体" w:hAnsi="宋体" w:cs="Arial"/>
                <w:b/>
                <w:bCs/>
                <w:szCs w:val="21"/>
              </w:rPr>
              <w:t>单价（元）</w:t>
            </w:r>
          </w:p>
        </w:tc>
        <w:tc>
          <w:tcPr>
            <w:tcW w:w="1271" w:type="dxa"/>
            <w:shd w:val="clear" w:color="auto" w:fill="auto"/>
            <w:vAlign w:val="center"/>
          </w:tcPr>
          <w:p w14:paraId="4B357CF2">
            <w:pPr>
              <w:spacing w:line="360" w:lineRule="auto"/>
              <w:rPr>
                <w:rFonts w:ascii="宋体" w:hAnsi="宋体" w:cs="Arial"/>
                <w:b/>
                <w:bCs/>
                <w:szCs w:val="21"/>
              </w:rPr>
            </w:pPr>
            <w:r>
              <w:rPr>
                <w:rFonts w:hint="eastAsia" w:ascii="宋体" w:hAnsi="宋体" w:cs="Arial"/>
                <w:b/>
                <w:bCs/>
                <w:szCs w:val="21"/>
              </w:rPr>
              <w:t>合价（元）</w:t>
            </w:r>
          </w:p>
        </w:tc>
      </w:tr>
      <w:tr w14:paraId="6378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5401E0F9">
            <w:pPr>
              <w:spacing w:line="360" w:lineRule="auto"/>
            </w:pPr>
          </w:p>
        </w:tc>
        <w:tc>
          <w:tcPr>
            <w:tcW w:w="1153" w:type="dxa"/>
            <w:shd w:val="clear" w:color="auto" w:fill="auto"/>
          </w:tcPr>
          <w:p w14:paraId="67209CE0">
            <w:pPr>
              <w:spacing w:line="360" w:lineRule="auto"/>
            </w:pPr>
          </w:p>
        </w:tc>
        <w:tc>
          <w:tcPr>
            <w:tcW w:w="1381" w:type="dxa"/>
            <w:shd w:val="clear" w:color="auto" w:fill="auto"/>
          </w:tcPr>
          <w:p w14:paraId="692F3735">
            <w:pPr>
              <w:spacing w:line="360" w:lineRule="auto"/>
            </w:pPr>
          </w:p>
        </w:tc>
        <w:tc>
          <w:tcPr>
            <w:tcW w:w="693" w:type="dxa"/>
            <w:shd w:val="clear" w:color="auto" w:fill="auto"/>
          </w:tcPr>
          <w:p w14:paraId="5365D36E">
            <w:pPr>
              <w:spacing w:line="360" w:lineRule="auto"/>
            </w:pPr>
          </w:p>
        </w:tc>
        <w:tc>
          <w:tcPr>
            <w:tcW w:w="693" w:type="dxa"/>
            <w:shd w:val="clear" w:color="auto" w:fill="auto"/>
          </w:tcPr>
          <w:p w14:paraId="046D0160">
            <w:pPr>
              <w:spacing w:line="360" w:lineRule="auto"/>
            </w:pPr>
          </w:p>
        </w:tc>
        <w:tc>
          <w:tcPr>
            <w:tcW w:w="693" w:type="dxa"/>
          </w:tcPr>
          <w:p w14:paraId="64DA6E41">
            <w:pPr>
              <w:spacing w:line="360" w:lineRule="auto"/>
            </w:pPr>
          </w:p>
        </w:tc>
        <w:tc>
          <w:tcPr>
            <w:tcW w:w="1381" w:type="dxa"/>
            <w:shd w:val="clear" w:color="auto" w:fill="auto"/>
          </w:tcPr>
          <w:p w14:paraId="2AC49E2A">
            <w:pPr>
              <w:spacing w:line="360" w:lineRule="auto"/>
            </w:pPr>
          </w:p>
        </w:tc>
        <w:tc>
          <w:tcPr>
            <w:tcW w:w="1271" w:type="dxa"/>
            <w:shd w:val="clear" w:color="auto" w:fill="auto"/>
          </w:tcPr>
          <w:p w14:paraId="53F46FF9">
            <w:pPr>
              <w:spacing w:line="360" w:lineRule="auto"/>
            </w:pPr>
          </w:p>
        </w:tc>
      </w:tr>
      <w:tr w14:paraId="7335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209C7C16">
            <w:pPr>
              <w:spacing w:line="360" w:lineRule="auto"/>
            </w:pPr>
          </w:p>
        </w:tc>
        <w:tc>
          <w:tcPr>
            <w:tcW w:w="1153" w:type="dxa"/>
            <w:shd w:val="clear" w:color="auto" w:fill="auto"/>
          </w:tcPr>
          <w:p w14:paraId="2E5111B0">
            <w:pPr>
              <w:spacing w:line="360" w:lineRule="auto"/>
            </w:pPr>
          </w:p>
        </w:tc>
        <w:tc>
          <w:tcPr>
            <w:tcW w:w="1381" w:type="dxa"/>
            <w:shd w:val="clear" w:color="auto" w:fill="auto"/>
          </w:tcPr>
          <w:p w14:paraId="77206187">
            <w:pPr>
              <w:spacing w:line="360" w:lineRule="auto"/>
            </w:pPr>
          </w:p>
        </w:tc>
        <w:tc>
          <w:tcPr>
            <w:tcW w:w="693" w:type="dxa"/>
            <w:shd w:val="clear" w:color="auto" w:fill="auto"/>
          </w:tcPr>
          <w:p w14:paraId="304A7B05">
            <w:pPr>
              <w:spacing w:line="360" w:lineRule="auto"/>
            </w:pPr>
          </w:p>
        </w:tc>
        <w:tc>
          <w:tcPr>
            <w:tcW w:w="693" w:type="dxa"/>
            <w:shd w:val="clear" w:color="auto" w:fill="auto"/>
          </w:tcPr>
          <w:p w14:paraId="345E35C6">
            <w:pPr>
              <w:spacing w:line="360" w:lineRule="auto"/>
            </w:pPr>
          </w:p>
        </w:tc>
        <w:tc>
          <w:tcPr>
            <w:tcW w:w="693" w:type="dxa"/>
          </w:tcPr>
          <w:p w14:paraId="1D41C74C">
            <w:pPr>
              <w:spacing w:line="360" w:lineRule="auto"/>
            </w:pPr>
          </w:p>
        </w:tc>
        <w:tc>
          <w:tcPr>
            <w:tcW w:w="1381" w:type="dxa"/>
            <w:shd w:val="clear" w:color="auto" w:fill="auto"/>
          </w:tcPr>
          <w:p w14:paraId="7F876454">
            <w:pPr>
              <w:spacing w:line="360" w:lineRule="auto"/>
            </w:pPr>
          </w:p>
        </w:tc>
        <w:tc>
          <w:tcPr>
            <w:tcW w:w="1271" w:type="dxa"/>
            <w:shd w:val="clear" w:color="auto" w:fill="auto"/>
          </w:tcPr>
          <w:p w14:paraId="0820F3CA">
            <w:pPr>
              <w:spacing w:line="360" w:lineRule="auto"/>
            </w:pPr>
          </w:p>
        </w:tc>
      </w:tr>
      <w:tr w14:paraId="61D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5B86BC1D">
            <w:pPr>
              <w:spacing w:line="360" w:lineRule="auto"/>
            </w:pPr>
          </w:p>
        </w:tc>
        <w:tc>
          <w:tcPr>
            <w:tcW w:w="1153" w:type="dxa"/>
            <w:shd w:val="clear" w:color="auto" w:fill="auto"/>
          </w:tcPr>
          <w:p w14:paraId="5AEB79E1">
            <w:pPr>
              <w:spacing w:line="360" w:lineRule="auto"/>
            </w:pPr>
          </w:p>
        </w:tc>
        <w:tc>
          <w:tcPr>
            <w:tcW w:w="1381" w:type="dxa"/>
            <w:shd w:val="clear" w:color="auto" w:fill="auto"/>
          </w:tcPr>
          <w:p w14:paraId="16AF824F">
            <w:pPr>
              <w:spacing w:line="360" w:lineRule="auto"/>
            </w:pPr>
          </w:p>
        </w:tc>
        <w:tc>
          <w:tcPr>
            <w:tcW w:w="693" w:type="dxa"/>
            <w:shd w:val="clear" w:color="auto" w:fill="auto"/>
          </w:tcPr>
          <w:p w14:paraId="6626D4CF">
            <w:pPr>
              <w:spacing w:line="360" w:lineRule="auto"/>
            </w:pPr>
          </w:p>
        </w:tc>
        <w:tc>
          <w:tcPr>
            <w:tcW w:w="693" w:type="dxa"/>
            <w:shd w:val="clear" w:color="auto" w:fill="auto"/>
          </w:tcPr>
          <w:p w14:paraId="7ABEE74E">
            <w:pPr>
              <w:spacing w:line="360" w:lineRule="auto"/>
            </w:pPr>
          </w:p>
        </w:tc>
        <w:tc>
          <w:tcPr>
            <w:tcW w:w="693" w:type="dxa"/>
          </w:tcPr>
          <w:p w14:paraId="08BCA0F0">
            <w:pPr>
              <w:spacing w:line="360" w:lineRule="auto"/>
            </w:pPr>
          </w:p>
        </w:tc>
        <w:tc>
          <w:tcPr>
            <w:tcW w:w="1381" w:type="dxa"/>
            <w:shd w:val="clear" w:color="auto" w:fill="auto"/>
          </w:tcPr>
          <w:p w14:paraId="4776C591">
            <w:pPr>
              <w:spacing w:line="360" w:lineRule="auto"/>
            </w:pPr>
          </w:p>
        </w:tc>
        <w:tc>
          <w:tcPr>
            <w:tcW w:w="1271" w:type="dxa"/>
            <w:shd w:val="clear" w:color="auto" w:fill="auto"/>
          </w:tcPr>
          <w:p w14:paraId="3286363A">
            <w:pPr>
              <w:spacing w:line="360" w:lineRule="auto"/>
            </w:pPr>
          </w:p>
        </w:tc>
      </w:tr>
      <w:tr w14:paraId="3A0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2BACB322">
            <w:pPr>
              <w:spacing w:line="360" w:lineRule="auto"/>
            </w:pPr>
          </w:p>
        </w:tc>
        <w:tc>
          <w:tcPr>
            <w:tcW w:w="1153" w:type="dxa"/>
            <w:shd w:val="clear" w:color="auto" w:fill="auto"/>
          </w:tcPr>
          <w:p w14:paraId="1B60F466">
            <w:pPr>
              <w:spacing w:line="360" w:lineRule="auto"/>
            </w:pPr>
          </w:p>
        </w:tc>
        <w:tc>
          <w:tcPr>
            <w:tcW w:w="1381" w:type="dxa"/>
            <w:shd w:val="clear" w:color="auto" w:fill="auto"/>
          </w:tcPr>
          <w:p w14:paraId="718CA6BF">
            <w:pPr>
              <w:spacing w:line="360" w:lineRule="auto"/>
            </w:pPr>
          </w:p>
        </w:tc>
        <w:tc>
          <w:tcPr>
            <w:tcW w:w="693" w:type="dxa"/>
            <w:shd w:val="clear" w:color="auto" w:fill="auto"/>
          </w:tcPr>
          <w:p w14:paraId="3BE5E858">
            <w:pPr>
              <w:spacing w:line="360" w:lineRule="auto"/>
            </w:pPr>
          </w:p>
        </w:tc>
        <w:tc>
          <w:tcPr>
            <w:tcW w:w="693" w:type="dxa"/>
            <w:shd w:val="clear" w:color="auto" w:fill="auto"/>
          </w:tcPr>
          <w:p w14:paraId="7E0F54A7">
            <w:pPr>
              <w:spacing w:line="360" w:lineRule="auto"/>
            </w:pPr>
          </w:p>
        </w:tc>
        <w:tc>
          <w:tcPr>
            <w:tcW w:w="693" w:type="dxa"/>
          </w:tcPr>
          <w:p w14:paraId="2D2F7EF5">
            <w:pPr>
              <w:spacing w:line="360" w:lineRule="auto"/>
            </w:pPr>
          </w:p>
        </w:tc>
        <w:tc>
          <w:tcPr>
            <w:tcW w:w="1381" w:type="dxa"/>
            <w:shd w:val="clear" w:color="auto" w:fill="auto"/>
          </w:tcPr>
          <w:p w14:paraId="12265340">
            <w:pPr>
              <w:spacing w:line="360" w:lineRule="auto"/>
            </w:pPr>
          </w:p>
        </w:tc>
        <w:tc>
          <w:tcPr>
            <w:tcW w:w="1271" w:type="dxa"/>
            <w:shd w:val="clear" w:color="auto" w:fill="auto"/>
          </w:tcPr>
          <w:p w14:paraId="63547459">
            <w:pPr>
              <w:spacing w:line="360" w:lineRule="auto"/>
            </w:pPr>
          </w:p>
        </w:tc>
      </w:tr>
      <w:tr w14:paraId="1AB4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8" w:type="dxa"/>
            <w:shd w:val="clear" w:color="auto" w:fill="auto"/>
          </w:tcPr>
          <w:p w14:paraId="3A7EA416">
            <w:pPr>
              <w:spacing w:line="360" w:lineRule="auto"/>
            </w:pPr>
          </w:p>
        </w:tc>
        <w:tc>
          <w:tcPr>
            <w:tcW w:w="1153" w:type="dxa"/>
            <w:shd w:val="clear" w:color="auto" w:fill="auto"/>
          </w:tcPr>
          <w:p w14:paraId="2769BB55">
            <w:pPr>
              <w:spacing w:line="360" w:lineRule="auto"/>
            </w:pPr>
          </w:p>
        </w:tc>
        <w:tc>
          <w:tcPr>
            <w:tcW w:w="1381" w:type="dxa"/>
            <w:shd w:val="clear" w:color="auto" w:fill="auto"/>
          </w:tcPr>
          <w:p w14:paraId="1E446F77">
            <w:pPr>
              <w:spacing w:line="360" w:lineRule="auto"/>
            </w:pPr>
          </w:p>
        </w:tc>
        <w:tc>
          <w:tcPr>
            <w:tcW w:w="693" w:type="dxa"/>
            <w:shd w:val="clear" w:color="auto" w:fill="auto"/>
          </w:tcPr>
          <w:p w14:paraId="4274FBED">
            <w:pPr>
              <w:spacing w:line="360" w:lineRule="auto"/>
            </w:pPr>
          </w:p>
        </w:tc>
        <w:tc>
          <w:tcPr>
            <w:tcW w:w="693" w:type="dxa"/>
            <w:shd w:val="clear" w:color="auto" w:fill="auto"/>
          </w:tcPr>
          <w:p w14:paraId="1CF188D1">
            <w:pPr>
              <w:spacing w:line="360" w:lineRule="auto"/>
            </w:pPr>
          </w:p>
        </w:tc>
        <w:tc>
          <w:tcPr>
            <w:tcW w:w="693" w:type="dxa"/>
          </w:tcPr>
          <w:p w14:paraId="791A8BF8">
            <w:pPr>
              <w:spacing w:line="360" w:lineRule="auto"/>
            </w:pPr>
          </w:p>
        </w:tc>
        <w:tc>
          <w:tcPr>
            <w:tcW w:w="1381" w:type="dxa"/>
            <w:shd w:val="clear" w:color="auto" w:fill="auto"/>
          </w:tcPr>
          <w:p w14:paraId="0A78A554">
            <w:pPr>
              <w:spacing w:line="360" w:lineRule="auto"/>
            </w:pPr>
          </w:p>
        </w:tc>
        <w:tc>
          <w:tcPr>
            <w:tcW w:w="1271" w:type="dxa"/>
            <w:shd w:val="clear" w:color="auto" w:fill="auto"/>
          </w:tcPr>
          <w:p w14:paraId="516B4149">
            <w:pPr>
              <w:spacing w:line="360" w:lineRule="auto"/>
            </w:pPr>
          </w:p>
        </w:tc>
      </w:tr>
      <w:tr w14:paraId="004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8" w:type="dxa"/>
            <w:shd w:val="clear" w:color="auto" w:fill="auto"/>
          </w:tcPr>
          <w:p w14:paraId="1630231F">
            <w:pPr>
              <w:spacing w:line="360" w:lineRule="auto"/>
            </w:pPr>
          </w:p>
        </w:tc>
        <w:tc>
          <w:tcPr>
            <w:tcW w:w="1153" w:type="dxa"/>
            <w:shd w:val="clear" w:color="auto" w:fill="auto"/>
          </w:tcPr>
          <w:p w14:paraId="4FC02398">
            <w:pPr>
              <w:spacing w:line="360" w:lineRule="auto"/>
            </w:pPr>
          </w:p>
        </w:tc>
        <w:tc>
          <w:tcPr>
            <w:tcW w:w="1381" w:type="dxa"/>
            <w:shd w:val="clear" w:color="auto" w:fill="auto"/>
          </w:tcPr>
          <w:p w14:paraId="19225510">
            <w:pPr>
              <w:spacing w:line="360" w:lineRule="auto"/>
            </w:pPr>
          </w:p>
        </w:tc>
        <w:tc>
          <w:tcPr>
            <w:tcW w:w="693" w:type="dxa"/>
            <w:shd w:val="clear" w:color="auto" w:fill="auto"/>
          </w:tcPr>
          <w:p w14:paraId="55260E4B">
            <w:pPr>
              <w:spacing w:line="360" w:lineRule="auto"/>
            </w:pPr>
          </w:p>
        </w:tc>
        <w:tc>
          <w:tcPr>
            <w:tcW w:w="693" w:type="dxa"/>
            <w:shd w:val="clear" w:color="auto" w:fill="auto"/>
          </w:tcPr>
          <w:p w14:paraId="2FFF3807">
            <w:pPr>
              <w:spacing w:line="360" w:lineRule="auto"/>
            </w:pPr>
          </w:p>
        </w:tc>
        <w:tc>
          <w:tcPr>
            <w:tcW w:w="693" w:type="dxa"/>
          </w:tcPr>
          <w:p w14:paraId="6D1523C8">
            <w:pPr>
              <w:spacing w:line="360" w:lineRule="auto"/>
            </w:pPr>
          </w:p>
        </w:tc>
        <w:tc>
          <w:tcPr>
            <w:tcW w:w="1381" w:type="dxa"/>
            <w:shd w:val="clear" w:color="auto" w:fill="auto"/>
          </w:tcPr>
          <w:p w14:paraId="5F0A952F">
            <w:pPr>
              <w:spacing w:line="360" w:lineRule="auto"/>
            </w:pPr>
          </w:p>
        </w:tc>
        <w:tc>
          <w:tcPr>
            <w:tcW w:w="1271" w:type="dxa"/>
            <w:shd w:val="clear" w:color="auto" w:fill="auto"/>
          </w:tcPr>
          <w:p w14:paraId="340A0AB6">
            <w:pPr>
              <w:spacing w:line="360" w:lineRule="auto"/>
            </w:pPr>
          </w:p>
        </w:tc>
      </w:tr>
      <w:tr w14:paraId="2E41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25416C9B">
            <w:pPr>
              <w:spacing w:line="360" w:lineRule="auto"/>
            </w:pPr>
          </w:p>
        </w:tc>
        <w:tc>
          <w:tcPr>
            <w:tcW w:w="1153" w:type="dxa"/>
            <w:shd w:val="clear" w:color="auto" w:fill="auto"/>
          </w:tcPr>
          <w:p w14:paraId="59F03626">
            <w:pPr>
              <w:spacing w:line="360" w:lineRule="auto"/>
            </w:pPr>
          </w:p>
        </w:tc>
        <w:tc>
          <w:tcPr>
            <w:tcW w:w="1381" w:type="dxa"/>
            <w:shd w:val="clear" w:color="auto" w:fill="auto"/>
          </w:tcPr>
          <w:p w14:paraId="6F5A2EBC">
            <w:pPr>
              <w:spacing w:line="360" w:lineRule="auto"/>
            </w:pPr>
          </w:p>
        </w:tc>
        <w:tc>
          <w:tcPr>
            <w:tcW w:w="693" w:type="dxa"/>
            <w:shd w:val="clear" w:color="auto" w:fill="auto"/>
          </w:tcPr>
          <w:p w14:paraId="71BFE7D1">
            <w:pPr>
              <w:spacing w:line="360" w:lineRule="auto"/>
            </w:pPr>
          </w:p>
        </w:tc>
        <w:tc>
          <w:tcPr>
            <w:tcW w:w="693" w:type="dxa"/>
            <w:shd w:val="clear" w:color="auto" w:fill="auto"/>
          </w:tcPr>
          <w:p w14:paraId="6A2D3123">
            <w:pPr>
              <w:spacing w:line="360" w:lineRule="auto"/>
            </w:pPr>
          </w:p>
        </w:tc>
        <w:tc>
          <w:tcPr>
            <w:tcW w:w="693" w:type="dxa"/>
          </w:tcPr>
          <w:p w14:paraId="62C3016D">
            <w:pPr>
              <w:spacing w:line="360" w:lineRule="auto"/>
            </w:pPr>
          </w:p>
        </w:tc>
        <w:tc>
          <w:tcPr>
            <w:tcW w:w="1381" w:type="dxa"/>
            <w:shd w:val="clear" w:color="auto" w:fill="auto"/>
          </w:tcPr>
          <w:p w14:paraId="6E1A9A25">
            <w:pPr>
              <w:spacing w:line="360" w:lineRule="auto"/>
            </w:pPr>
          </w:p>
        </w:tc>
        <w:tc>
          <w:tcPr>
            <w:tcW w:w="1271" w:type="dxa"/>
            <w:shd w:val="clear" w:color="auto" w:fill="auto"/>
          </w:tcPr>
          <w:p w14:paraId="0D987EB2">
            <w:pPr>
              <w:spacing w:line="360" w:lineRule="auto"/>
            </w:pPr>
          </w:p>
        </w:tc>
      </w:tr>
      <w:tr w14:paraId="372B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1649AEC4">
            <w:pPr>
              <w:spacing w:line="360" w:lineRule="auto"/>
            </w:pPr>
          </w:p>
        </w:tc>
        <w:tc>
          <w:tcPr>
            <w:tcW w:w="5994" w:type="dxa"/>
            <w:gridSpan w:val="6"/>
            <w:shd w:val="clear" w:color="auto" w:fill="auto"/>
          </w:tcPr>
          <w:p w14:paraId="23C2648E">
            <w:pPr>
              <w:tabs>
                <w:tab w:val="left" w:pos="842"/>
              </w:tabs>
              <w:spacing w:line="360" w:lineRule="auto"/>
            </w:pPr>
            <w:r>
              <w:tab/>
            </w:r>
            <w:r>
              <w:rPr>
                <w:rFonts w:hint="eastAsia"/>
              </w:rPr>
              <w:t>合计（大写：         ；币种：人民币；单位：元）</w:t>
            </w:r>
          </w:p>
        </w:tc>
        <w:tc>
          <w:tcPr>
            <w:tcW w:w="1271" w:type="dxa"/>
            <w:shd w:val="clear" w:color="auto" w:fill="auto"/>
          </w:tcPr>
          <w:p w14:paraId="73985CC5">
            <w:pPr>
              <w:spacing w:line="360" w:lineRule="auto"/>
            </w:pPr>
          </w:p>
        </w:tc>
      </w:tr>
    </w:tbl>
    <w:p w14:paraId="2C0F2281"/>
    <w:p w14:paraId="5BAB7BE3">
      <w:pPr>
        <w:spacing w:line="360" w:lineRule="auto"/>
      </w:pPr>
      <w:r>
        <w:rPr>
          <w:rFonts w:hint="eastAsia"/>
        </w:rPr>
        <w:t>投标单位（</w:t>
      </w:r>
      <w:r>
        <w:t>盖章</w:t>
      </w:r>
      <w:r>
        <w:rPr>
          <w:rFonts w:hint="eastAsia"/>
        </w:rPr>
        <w:t>）</w:t>
      </w:r>
      <w:r>
        <w:t>：</w:t>
      </w:r>
    </w:p>
    <w:p w14:paraId="5CBCA92D">
      <w:pPr>
        <w:spacing w:line="360" w:lineRule="auto"/>
      </w:pPr>
      <w:r>
        <w:rPr>
          <w:rFonts w:hint="eastAsia"/>
        </w:rPr>
        <w:t>法定代表人或其委托代理人：</w:t>
      </w:r>
      <w:r>
        <w:t>（签字）：</w:t>
      </w:r>
    </w:p>
    <w:p w14:paraId="4CB30AE6">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14:paraId="0BB5F472">
      <w:pPr>
        <w:pStyle w:val="22"/>
        <w:ind w:firstLine="420"/>
      </w:pPr>
      <w:r>
        <w:br w:type="page"/>
      </w:r>
    </w:p>
    <w:p w14:paraId="5E6F798D">
      <w:pPr>
        <w:pStyle w:val="2"/>
        <w:pageBreakBefore/>
        <w:jc w:val="center"/>
      </w:pPr>
      <w:r>
        <w:t>4</w:t>
      </w:r>
      <w:r>
        <w:rPr>
          <w:rFonts w:hint="eastAsia"/>
        </w:rPr>
        <w:t>、法定代表人证明书</w:t>
      </w:r>
    </w:p>
    <w:p w14:paraId="759702A4">
      <w:pPr>
        <w:pStyle w:val="6"/>
        <w:spacing w:line="360" w:lineRule="auto"/>
        <w:ind w:firstLine="480"/>
      </w:pPr>
      <w:r>
        <w:rPr>
          <w:rFonts w:hint="eastAsia"/>
        </w:rPr>
        <w:t>姓名：</w:t>
      </w:r>
      <w:r>
        <w:rPr>
          <w:rFonts w:hint="eastAsia"/>
          <w:u w:val="single"/>
        </w:rPr>
        <w:t xml:space="preserve">        </w:t>
      </w:r>
      <w:r>
        <w:rPr>
          <w:rFonts w:hint="eastAsia"/>
        </w:rPr>
        <w:t>身份证号码：</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系</w:t>
      </w:r>
      <w:r>
        <w:rPr>
          <w:rFonts w:hint="eastAsia"/>
          <w:u w:val="single"/>
        </w:rPr>
        <w:t xml:space="preserve">                                   </w:t>
      </w:r>
      <w:r>
        <w:rPr>
          <w:rFonts w:hint="eastAsia"/>
        </w:rPr>
        <w:t>的法定代表人。</w:t>
      </w:r>
    </w:p>
    <w:p w14:paraId="3D4D4769">
      <w:pPr>
        <w:pStyle w:val="6"/>
        <w:spacing w:line="360" w:lineRule="auto"/>
        <w:ind w:firstLine="480"/>
      </w:pPr>
      <w:r>
        <w:rPr>
          <w:rFonts w:hint="eastAsia"/>
        </w:rPr>
        <w:t>特此证明！</w:t>
      </w:r>
    </w:p>
    <w:p w14:paraId="58B96E78">
      <w:pPr>
        <w:pStyle w:val="6"/>
        <w:spacing w:line="360" w:lineRule="auto"/>
        <w:ind w:firstLine="480"/>
      </w:pPr>
      <w:r>
        <w:rPr>
          <w:rFonts w:hint="eastAsia"/>
        </w:rPr>
        <w:t xml:space="preserve">                  </w:t>
      </w:r>
      <w:r>
        <w:rPr>
          <w:rFonts w:hint="eastAsia" w:ascii="宋体" w:hAnsi="宋体"/>
          <w:szCs w:val="21"/>
        </w:rPr>
        <w:t>投标供单位（盖章）：</w:t>
      </w:r>
      <w:r>
        <w:rPr>
          <w:rFonts w:hint="eastAsia"/>
          <w:u w:val="single"/>
        </w:rPr>
        <w:t xml:space="preserve">                         </w:t>
      </w:r>
    </w:p>
    <w:p w14:paraId="5CCFDDF0">
      <w:pPr>
        <w:pStyle w:val="6"/>
        <w:spacing w:line="360" w:lineRule="auto"/>
        <w:ind w:firstLine="480"/>
      </w:pPr>
      <w:r>
        <w:rPr>
          <w:rFonts w:hint="eastAsia"/>
        </w:rPr>
        <w:t xml:space="preserve">                  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D82330E">
      <w:pPr>
        <w:pStyle w:val="6"/>
        <w:spacing w:line="360" w:lineRule="auto"/>
        <w:ind w:firstLine="480"/>
      </w:pPr>
      <w:r>
        <w:rPr>
          <w:rFonts w:hint="eastAsia"/>
        </w:rPr>
        <w:t>附：法定代表人身份证</w:t>
      </w:r>
    </w:p>
    <w:p w14:paraId="76ED6504">
      <w:pPr>
        <w:pStyle w:val="2"/>
        <w:pageBreakBefore/>
        <w:jc w:val="center"/>
      </w:pPr>
      <w:bookmarkStart w:id="2" w:name="_Toc70485549"/>
      <w:bookmarkStart w:id="3" w:name="_Toc136357784"/>
      <w:bookmarkStart w:id="4" w:name="_Toc417387469"/>
      <w:r>
        <w:t>5</w:t>
      </w:r>
      <w:r>
        <w:rPr>
          <w:rFonts w:hint="eastAsia"/>
        </w:rPr>
        <w:t>、法人授权委托证明书</w:t>
      </w:r>
      <w:bookmarkEnd w:id="2"/>
      <w:bookmarkEnd w:id="3"/>
      <w:bookmarkEnd w:id="4"/>
    </w:p>
    <w:p w14:paraId="0C494EDB">
      <w:pPr>
        <w:widowControl/>
        <w:spacing w:line="600" w:lineRule="exact"/>
        <w:rPr>
          <w:szCs w:val="21"/>
        </w:rPr>
      </w:pPr>
      <w:r>
        <w:rPr>
          <w:rFonts w:hint="eastAsia" w:ascii="宋体" w:hAnsi="宋体"/>
          <w:b/>
          <w:spacing w:val="6"/>
          <w:kern w:val="11"/>
          <w:szCs w:val="24"/>
          <w:u w:val="single"/>
        </w:rPr>
        <w:t>深圳明德实验学校（集团）</w:t>
      </w:r>
      <w:r>
        <w:rPr>
          <w:rFonts w:ascii="宋体" w:hAnsi="宋体"/>
          <w:b/>
          <w:spacing w:val="6"/>
          <w:kern w:val="11"/>
          <w:szCs w:val="24"/>
        </w:rPr>
        <w:t>:</w:t>
      </w:r>
    </w:p>
    <w:p w14:paraId="7362D988">
      <w:pPr>
        <w:spacing w:line="360" w:lineRule="auto"/>
        <w:ind w:firstLine="495"/>
        <w:rPr>
          <w:rFonts w:ascii="宋体"/>
        </w:rPr>
      </w:pPr>
      <w:r>
        <w:rPr>
          <w:rFonts w:hint="eastAsia" w:ascii="宋体"/>
        </w:rPr>
        <w:t>本授权书声明：</w:t>
      </w:r>
      <w:r>
        <w:rPr>
          <w:rFonts w:hint="eastAsia" w:ascii="宋体"/>
          <w:u w:val="single"/>
        </w:rPr>
        <w:t xml:space="preserve">        </w:t>
      </w:r>
      <w:r>
        <w:rPr>
          <w:rFonts w:hint="eastAsia" w:ascii="宋体"/>
        </w:rPr>
        <w:t>（投标单位全称）的在下面签字的</w:t>
      </w:r>
      <w:r>
        <w:rPr>
          <w:rFonts w:hint="eastAsia" w:ascii="宋体"/>
          <w:u w:val="single"/>
        </w:rPr>
        <w:t xml:space="preserve">       </w:t>
      </w:r>
      <w:r>
        <w:rPr>
          <w:rFonts w:hint="eastAsia" w:ascii="宋体"/>
        </w:rPr>
        <w:t>（法人代表姓名、职务）代表本公司授权</w:t>
      </w:r>
      <w:r>
        <w:rPr>
          <w:rFonts w:hint="eastAsia" w:ascii="宋体"/>
          <w:u w:val="single"/>
        </w:rPr>
        <w:t xml:space="preserve">         </w:t>
      </w:r>
      <w:r>
        <w:rPr>
          <w:rFonts w:hint="eastAsia" w:ascii="宋体"/>
        </w:rPr>
        <w:t>（被授权人的姓名、职务）为本公司的合法代理人，参加贵校组织的</w:t>
      </w:r>
      <w:r>
        <w:rPr>
          <w:rFonts w:hint="eastAsia" w:ascii="宋体"/>
          <w:b/>
          <w:u w:val="single"/>
        </w:rPr>
        <w:t xml:space="preserve">                </w:t>
      </w:r>
      <w:r>
        <w:rPr>
          <w:rFonts w:hint="eastAsia" w:ascii="宋体"/>
        </w:rPr>
        <w:t>项目的招标活动，全权代表我公司处理投标活动中的一切事宜。</w:t>
      </w:r>
    </w:p>
    <w:p w14:paraId="32403C87">
      <w:pPr>
        <w:spacing w:line="360" w:lineRule="auto"/>
        <w:ind w:firstLine="495"/>
      </w:pPr>
      <w:r>
        <w:rPr>
          <w:rFonts w:hint="eastAsia"/>
        </w:rPr>
        <w:t>我</w:t>
      </w:r>
      <w:r>
        <w:rPr>
          <w:rFonts w:hint="eastAsia" w:ascii="宋体"/>
        </w:rPr>
        <w:t>公司</w:t>
      </w:r>
      <w:r>
        <w:rPr>
          <w:rFonts w:hint="eastAsia"/>
        </w:rPr>
        <w:t>对被授权人在授权有效期内的签名负全部责任。</w:t>
      </w:r>
    </w:p>
    <w:p w14:paraId="655EE646">
      <w:pPr>
        <w:spacing w:line="360" w:lineRule="auto"/>
        <w:ind w:firstLine="495"/>
      </w:pPr>
      <w:r>
        <w:rPr>
          <w:rFonts w:hint="eastAsia"/>
        </w:rPr>
        <w:t>授权有效期：从授权开始到本项目完成止，在授权有效期内本授权书一直有效。被授权人签署的所有文件（在授权书有效期内签署的合法文件）不因授权撤销而失效。</w:t>
      </w:r>
    </w:p>
    <w:p w14:paraId="04B50677">
      <w:pPr>
        <w:spacing w:line="360" w:lineRule="auto"/>
        <w:ind w:firstLine="495"/>
        <w:rPr>
          <w:rFonts w:ascii="宋体"/>
        </w:rPr>
      </w:pPr>
      <w:r>
        <w:rPr>
          <w:rFonts w:hint="eastAsia" w:ascii="宋体"/>
        </w:rPr>
        <w:t>本授权书于</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日签字生效，特此声明。</w:t>
      </w:r>
    </w:p>
    <w:p w14:paraId="2FC5C073">
      <w:pPr>
        <w:spacing w:line="360" w:lineRule="auto"/>
        <w:ind w:firstLine="495"/>
        <w:rPr>
          <w:rFonts w:ascii="宋体"/>
        </w:rPr>
      </w:pPr>
    </w:p>
    <w:p w14:paraId="5074BE9D">
      <w:pPr>
        <w:spacing w:line="360" w:lineRule="auto"/>
        <w:ind w:firstLine="495"/>
        <w:rPr>
          <w:rFonts w:ascii="宋体"/>
          <w:u w:val="single"/>
        </w:rPr>
      </w:pPr>
      <w:r>
        <w:rPr>
          <w:rFonts w:hint="eastAsia" w:ascii="宋体"/>
        </w:rPr>
        <w:t>法定代表人签字：</w:t>
      </w:r>
      <w:r>
        <w:rPr>
          <w:rFonts w:hint="eastAsia" w:ascii="宋体"/>
          <w:u w:val="single"/>
        </w:rPr>
        <w:t xml:space="preserve">                 </w:t>
      </w:r>
    </w:p>
    <w:p w14:paraId="29C167C6">
      <w:pPr>
        <w:spacing w:line="360" w:lineRule="auto"/>
        <w:ind w:firstLine="495"/>
        <w:rPr>
          <w:rFonts w:ascii="宋体"/>
          <w:u w:val="single"/>
        </w:rPr>
      </w:pPr>
      <w:r>
        <w:rPr>
          <w:rFonts w:hint="eastAsia" w:ascii="宋体"/>
        </w:rPr>
        <w:t>被授权人签名：</w:t>
      </w:r>
      <w:r>
        <w:rPr>
          <w:rFonts w:hint="eastAsia" w:ascii="宋体"/>
          <w:u w:val="single"/>
        </w:rPr>
        <w:t xml:space="preserve">                  </w:t>
      </w:r>
    </w:p>
    <w:p w14:paraId="7BB6EF7E">
      <w:pPr>
        <w:spacing w:line="360" w:lineRule="auto"/>
        <w:ind w:firstLine="495"/>
        <w:rPr>
          <w:rFonts w:ascii="宋体"/>
          <w:u w:val="single"/>
        </w:rPr>
      </w:pPr>
      <w:r>
        <w:rPr>
          <w:rFonts w:hint="eastAsia" w:ascii="宋体" w:hAnsi="宋体"/>
          <w:szCs w:val="21"/>
        </w:rPr>
        <w:t>投标单位（盖章）：</w:t>
      </w:r>
      <w:r>
        <w:rPr>
          <w:rFonts w:hint="eastAsia" w:ascii="宋体"/>
          <w:u w:val="single"/>
        </w:rPr>
        <w:t xml:space="preserve">                        </w:t>
      </w:r>
    </w:p>
    <w:p w14:paraId="340EA970">
      <w:pPr>
        <w:spacing w:line="360" w:lineRule="auto"/>
        <w:ind w:firstLine="495"/>
        <w:rPr>
          <w:rFonts w:ascii="宋体"/>
          <w:u w:val="single"/>
        </w:rPr>
      </w:pPr>
      <w:r>
        <w:rPr>
          <w:rFonts w:hint="eastAsia" w:ascii="宋体"/>
        </w:rPr>
        <w:t>日    期：</w:t>
      </w:r>
      <w:r>
        <w:rPr>
          <w:rFonts w:ascii="宋体"/>
          <w:u w:val="single"/>
        </w:rPr>
        <w:t xml:space="preserve">                        </w:t>
      </w:r>
    </w:p>
    <w:p w14:paraId="3187007C">
      <w:pPr>
        <w:spacing w:line="360" w:lineRule="auto"/>
        <w:ind w:firstLine="315" w:firstLineChars="150"/>
      </w:pPr>
      <w:r>
        <w:rPr>
          <w:rFonts w:hint="eastAsia"/>
        </w:rPr>
        <w:t>附：被授权人身份证</w:t>
      </w:r>
    </w:p>
    <w:p w14:paraId="232A63E0">
      <w:pPr>
        <w:widowControl/>
        <w:jc w:val="left"/>
        <w:rPr>
          <w:rFonts w:ascii="长城仿宋"/>
          <w:kern w:val="0"/>
          <w:szCs w:val="20"/>
        </w:rPr>
      </w:pPr>
      <w:r>
        <w:br w:type="page"/>
      </w:r>
    </w:p>
    <w:p w14:paraId="2C463F26">
      <w:pPr>
        <w:pStyle w:val="2"/>
        <w:pageBreakBefore/>
        <w:jc w:val="center"/>
      </w:pPr>
      <w:r>
        <w:t>6</w:t>
      </w:r>
      <w:r>
        <w:rPr>
          <w:rFonts w:hint="eastAsia"/>
        </w:rPr>
        <w:t>、技术需求偏离表</w:t>
      </w:r>
    </w:p>
    <w:p w14:paraId="1DF1662E">
      <w:pPr>
        <w:spacing w:line="360" w:lineRule="auto"/>
        <w:rPr>
          <w:u w:val="single"/>
        </w:rPr>
      </w:pPr>
      <w:r>
        <w:rPr>
          <w:bCs/>
          <w:szCs w:val="21"/>
        </w:rPr>
        <w:t>投标人名称：</w:t>
      </w:r>
      <w:r>
        <w:rPr>
          <w:bCs/>
          <w:szCs w:val="21"/>
          <w:u w:val="single"/>
        </w:rPr>
        <w:t xml:space="preserve">                      </w:t>
      </w:r>
      <w:r>
        <w:rPr>
          <w:bCs/>
          <w:szCs w:val="21"/>
        </w:rPr>
        <w:t xml:space="preserve">         项目编号：</w:t>
      </w:r>
      <w:r>
        <w:rPr>
          <w:bCs/>
          <w:szCs w:val="21"/>
          <w:u w:val="single"/>
        </w:rPr>
        <w:t xml:space="preserve">                      </w:t>
      </w:r>
      <w:r>
        <w:rPr>
          <w:bCs/>
          <w:szCs w:val="21"/>
        </w:rPr>
        <w:t xml:space="preserve"> </w:t>
      </w:r>
    </w:p>
    <w:tbl>
      <w:tblPr>
        <w:tblStyle w:val="15"/>
        <w:tblW w:w="10099" w:type="dxa"/>
        <w:jc w:val="center"/>
        <w:tblLayout w:type="fixed"/>
        <w:tblCellMar>
          <w:top w:w="0" w:type="dxa"/>
          <w:left w:w="108" w:type="dxa"/>
          <w:bottom w:w="0" w:type="dxa"/>
          <w:right w:w="108" w:type="dxa"/>
        </w:tblCellMar>
      </w:tblPr>
      <w:tblGrid>
        <w:gridCol w:w="993"/>
        <w:gridCol w:w="1167"/>
        <w:gridCol w:w="3828"/>
        <w:gridCol w:w="1276"/>
        <w:gridCol w:w="1275"/>
        <w:gridCol w:w="1560"/>
      </w:tblGrid>
      <w:tr w14:paraId="6D77D7A1">
        <w:tblPrEx>
          <w:tblCellMar>
            <w:top w:w="0" w:type="dxa"/>
            <w:left w:w="108" w:type="dxa"/>
            <w:bottom w:w="0" w:type="dxa"/>
            <w:right w:w="108" w:type="dxa"/>
          </w:tblCellMar>
        </w:tblPrEx>
        <w:trPr>
          <w:trHeight w:val="6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0E9B03A">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67" w:type="dxa"/>
            <w:tcBorders>
              <w:top w:val="single" w:color="auto" w:sz="4" w:space="0"/>
              <w:left w:val="nil"/>
              <w:bottom w:val="single" w:color="auto" w:sz="4" w:space="0"/>
              <w:right w:val="single" w:color="auto" w:sz="4" w:space="0"/>
            </w:tcBorders>
            <w:vAlign w:val="center"/>
          </w:tcPr>
          <w:p w14:paraId="301A7FC8">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货物名称</w:t>
            </w:r>
          </w:p>
        </w:tc>
        <w:tc>
          <w:tcPr>
            <w:tcW w:w="3828" w:type="dxa"/>
            <w:tcBorders>
              <w:top w:val="single" w:color="auto" w:sz="4" w:space="0"/>
              <w:left w:val="nil"/>
              <w:bottom w:val="single" w:color="auto" w:sz="4" w:space="0"/>
              <w:right w:val="single" w:color="auto" w:sz="4" w:space="0"/>
            </w:tcBorders>
            <w:vAlign w:val="center"/>
          </w:tcPr>
          <w:p w14:paraId="03A4E5EA">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招标规格</w:t>
            </w:r>
          </w:p>
        </w:tc>
        <w:tc>
          <w:tcPr>
            <w:tcW w:w="1276" w:type="dxa"/>
            <w:tcBorders>
              <w:top w:val="single" w:color="auto" w:sz="4" w:space="0"/>
              <w:left w:val="nil"/>
              <w:bottom w:val="single" w:color="auto" w:sz="4" w:space="0"/>
              <w:right w:val="single" w:color="auto" w:sz="4" w:space="0"/>
            </w:tcBorders>
            <w:vAlign w:val="center"/>
          </w:tcPr>
          <w:p w14:paraId="6814F5B5">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投标规格</w:t>
            </w:r>
          </w:p>
        </w:tc>
        <w:tc>
          <w:tcPr>
            <w:tcW w:w="1275" w:type="dxa"/>
            <w:tcBorders>
              <w:top w:val="single" w:color="auto" w:sz="4" w:space="0"/>
              <w:left w:val="nil"/>
              <w:bottom w:val="single" w:color="auto" w:sz="4" w:space="0"/>
              <w:right w:val="single" w:color="auto" w:sz="4" w:space="0"/>
            </w:tcBorders>
            <w:vAlign w:val="center"/>
          </w:tcPr>
          <w:p w14:paraId="07230756">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偏离情况</w:t>
            </w:r>
          </w:p>
        </w:tc>
        <w:tc>
          <w:tcPr>
            <w:tcW w:w="1560" w:type="dxa"/>
            <w:tcBorders>
              <w:top w:val="single" w:color="auto" w:sz="4" w:space="0"/>
              <w:left w:val="nil"/>
              <w:bottom w:val="single" w:color="auto" w:sz="4" w:space="0"/>
              <w:right w:val="single" w:color="auto" w:sz="4" w:space="0"/>
            </w:tcBorders>
            <w:vAlign w:val="center"/>
          </w:tcPr>
          <w:p w14:paraId="65DD14E7">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说明</w:t>
            </w:r>
          </w:p>
        </w:tc>
      </w:tr>
      <w:tr w14:paraId="5E473F87">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998230A">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4C8511AC">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2803C190">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33256F21">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3E251935">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3044E663">
            <w:pPr>
              <w:widowControl/>
              <w:adjustRightInd w:val="0"/>
              <w:snapToGrid w:val="0"/>
              <w:spacing w:line="360" w:lineRule="auto"/>
              <w:jc w:val="center"/>
              <w:rPr>
                <w:rFonts w:ascii="宋体" w:hAnsi="宋体" w:cs="宋体"/>
                <w:b/>
                <w:bCs/>
                <w:color w:val="000000"/>
                <w:kern w:val="0"/>
                <w:szCs w:val="21"/>
              </w:rPr>
            </w:pPr>
          </w:p>
        </w:tc>
      </w:tr>
      <w:tr w14:paraId="388FAABD">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E5CF688">
            <w:pPr>
              <w:widowControl/>
              <w:adjustRightInd w:val="0"/>
              <w:snapToGrid w:val="0"/>
              <w:spacing w:line="360" w:lineRule="auto"/>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7F6AAD19">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3A7F954A">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4B8EFF70">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47EA576F">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04291ECF">
            <w:pPr>
              <w:widowControl/>
              <w:adjustRightInd w:val="0"/>
              <w:snapToGrid w:val="0"/>
              <w:spacing w:line="360" w:lineRule="auto"/>
              <w:jc w:val="center"/>
              <w:rPr>
                <w:rFonts w:ascii="宋体" w:hAnsi="宋体" w:cs="宋体"/>
                <w:b/>
                <w:bCs/>
                <w:color w:val="000000"/>
                <w:kern w:val="0"/>
                <w:szCs w:val="21"/>
              </w:rPr>
            </w:pPr>
          </w:p>
        </w:tc>
      </w:tr>
      <w:tr w14:paraId="1D4D03F5">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95EFB2">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6519741A">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1C87EDC7">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25B9A716">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5E4BCEE2">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D4C906A">
            <w:pPr>
              <w:widowControl/>
              <w:adjustRightInd w:val="0"/>
              <w:snapToGrid w:val="0"/>
              <w:spacing w:line="360" w:lineRule="auto"/>
              <w:jc w:val="center"/>
              <w:rPr>
                <w:rFonts w:ascii="宋体" w:hAnsi="宋体" w:cs="宋体"/>
                <w:b/>
                <w:bCs/>
                <w:color w:val="000000"/>
                <w:kern w:val="0"/>
                <w:szCs w:val="21"/>
              </w:rPr>
            </w:pPr>
          </w:p>
        </w:tc>
      </w:tr>
      <w:tr w14:paraId="2228789E">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E9D927D">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6E099FFF">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024BEAA2">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3574F908">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638279E1">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F8A92A5">
            <w:pPr>
              <w:widowControl/>
              <w:adjustRightInd w:val="0"/>
              <w:snapToGrid w:val="0"/>
              <w:spacing w:line="360" w:lineRule="auto"/>
              <w:jc w:val="center"/>
              <w:rPr>
                <w:rFonts w:ascii="宋体" w:hAnsi="宋体" w:cs="宋体"/>
                <w:b/>
                <w:bCs/>
                <w:color w:val="000000"/>
                <w:kern w:val="0"/>
                <w:szCs w:val="21"/>
              </w:rPr>
            </w:pPr>
          </w:p>
        </w:tc>
      </w:tr>
      <w:tr w14:paraId="2D96CCF4">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5A8137A">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1BFFED24">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44392BEF">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0574FF5">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10A34592">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62B0A42A">
            <w:pPr>
              <w:widowControl/>
              <w:adjustRightInd w:val="0"/>
              <w:snapToGrid w:val="0"/>
              <w:spacing w:line="360" w:lineRule="auto"/>
              <w:jc w:val="center"/>
              <w:rPr>
                <w:rFonts w:ascii="宋体" w:hAnsi="宋体" w:cs="宋体"/>
                <w:b/>
                <w:bCs/>
                <w:color w:val="000000"/>
                <w:kern w:val="0"/>
                <w:szCs w:val="21"/>
              </w:rPr>
            </w:pPr>
          </w:p>
        </w:tc>
      </w:tr>
      <w:tr w14:paraId="5B261414">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D41837C">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255DF388">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205466D3">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0F96BE4">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5BACEF5B">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467549F">
            <w:pPr>
              <w:widowControl/>
              <w:adjustRightInd w:val="0"/>
              <w:snapToGrid w:val="0"/>
              <w:spacing w:line="360" w:lineRule="auto"/>
              <w:jc w:val="center"/>
              <w:rPr>
                <w:rFonts w:ascii="宋体" w:hAnsi="宋体" w:cs="宋体"/>
                <w:b/>
                <w:bCs/>
                <w:color w:val="000000"/>
                <w:kern w:val="0"/>
                <w:szCs w:val="21"/>
              </w:rPr>
            </w:pPr>
          </w:p>
        </w:tc>
      </w:tr>
      <w:tr w14:paraId="7C870B39">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EDD2592">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64F737DD">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7B2713B7">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252C4C0B">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2F6DFF83">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29F0234D">
            <w:pPr>
              <w:widowControl/>
              <w:adjustRightInd w:val="0"/>
              <w:snapToGrid w:val="0"/>
              <w:spacing w:line="360" w:lineRule="auto"/>
              <w:jc w:val="center"/>
              <w:rPr>
                <w:rFonts w:ascii="宋体" w:hAnsi="宋体" w:cs="宋体"/>
                <w:b/>
                <w:bCs/>
                <w:color w:val="000000"/>
                <w:kern w:val="0"/>
                <w:szCs w:val="21"/>
              </w:rPr>
            </w:pPr>
          </w:p>
        </w:tc>
      </w:tr>
      <w:tr w14:paraId="7CA2002A">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3C68A22">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52AE2114">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7D37D73A">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248B98A">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1B02CB83">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5546150A">
            <w:pPr>
              <w:widowControl/>
              <w:adjustRightInd w:val="0"/>
              <w:snapToGrid w:val="0"/>
              <w:spacing w:line="360" w:lineRule="auto"/>
              <w:jc w:val="center"/>
              <w:rPr>
                <w:rFonts w:ascii="宋体" w:hAnsi="宋体" w:cs="宋体"/>
                <w:b/>
                <w:bCs/>
                <w:color w:val="000000"/>
                <w:kern w:val="0"/>
                <w:szCs w:val="21"/>
              </w:rPr>
            </w:pPr>
          </w:p>
        </w:tc>
      </w:tr>
      <w:tr w14:paraId="0D19C3AC">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DED3BCC">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411BFAB8">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696E3730">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44481E2E">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1DBA9A36">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ABAD8BE">
            <w:pPr>
              <w:widowControl/>
              <w:adjustRightInd w:val="0"/>
              <w:snapToGrid w:val="0"/>
              <w:spacing w:line="360" w:lineRule="auto"/>
              <w:jc w:val="center"/>
              <w:rPr>
                <w:rFonts w:ascii="宋体" w:hAnsi="宋体" w:cs="宋体"/>
                <w:b/>
                <w:bCs/>
                <w:color w:val="000000"/>
                <w:kern w:val="0"/>
                <w:szCs w:val="21"/>
              </w:rPr>
            </w:pPr>
          </w:p>
        </w:tc>
      </w:tr>
    </w:tbl>
    <w:p w14:paraId="30745E60">
      <w:pPr>
        <w:rPr>
          <w:sz w:val="20"/>
          <w:szCs w:val="20"/>
        </w:rPr>
      </w:pPr>
      <w:r>
        <w:rPr>
          <w:rFonts w:hint="eastAsia"/>
          <w:sz w:val="20"/>
          <w:szCs w:val="20"/>
        </w:rPr>
        <w:t>备注：1. “偏离情况”栏中应填写“正偏离”、“负偏离”或“无偏离”。</w:t>
      </w:r>
    </w:p>
    <w:p w14:paraId="7B5547E3">
      <w:pPr>
        <w:ind w:firstLine="600" w:firstLineChars="300"/>
        <w:rPr>
          <w:sz w:val="20"/>
          <w:szCs w:val="20"/>
        </w:rPr>
      </w:pPr>
      <w:r>
        <w:rPr>
          <w:rFonts w:hint="eastAsia"/>
          <w:sz w:val="20"/>
          <w:szCs w:val="20"/>
        </w:rPr>
        <w:t>2. “技术需求偏离表”一栏须详细按招标技术需求内容填写。</w:t>
      </w:r>
    </w:p>
    <w:p w14:paraId="11B3C674">
      <w:pPr>
        <w:pStyle w:val="22"/>
        <w:spacing w:line="240" w:lineRule="auto"/>
        <w:ind w:firstLine="600" w:firstLineChars="300"/>
        <w:rPr>
          <w:rFonts w:asciiTheme="minorHAnsi"/>
          <w:kern w:val="2"/>
          <w:sz w:val="20"/>
        </w:rPr>
      </w:pPr>
      <w:r>
        <w:rPr>
          <w:rFonts w:hint="eastAsia" w:asciiTheme="minorHAnsi"/>
          <w:kern w:val="2"/>
          <w:sz w:val="20"/>
        </w:rPr>
        <w:t>3</w:t>
      </w:r>
      <w:r>
        <w:rPr>
          <w:rFonts w:asciiTheme="minorHAnsi"/>
          <w:kern w:val="2"/>
          <w:sz w:val="20"/>
        </w:rPr>
        <w:t>.</w:t>
      </w:r>
      <w:r>
        <w:rPr>
          <w:rFonts w:hint="eastAsia" w:asciiTheme="minorHAnsi"/>
          <w:kern w:val="2"/>
          <w:sz w:val="20"/>
        </w:rPr>
        <w:t xml:space="preserve"> “★”条款不可负偏离，否则做废标处理。</w:t>
      </w:r>
    </w:p>
    <w:p w14:paraId="38D114B3">
      <w:pPr>
        <w:pStyle w:val="22"/>
        <w:ind w:firstLine="420"/>
      </w:pPr>
    </w:p>
    <w:p w14:paraId="4813F895"/>
    <w:p w14:paraId="41345900"/>
    <w:p w14:paraId="10472BEC">
      <w:pPr>
        <w:widowControl/>
        <w:jc w:val="left"/>
        <w:rPr>
          <w:rFonts w:ascii="Times New Roman" w:hAnsi="Times New Roman" w:eastAsia="宋体" w:cs="Times New Roman"/>
          <w:b/>
          <w:bCs/>
          <w:sz w:val="32"/>
          <w:szCs w:val="32"/>
        </w:rPr>
      </w:pPr>
      <w:r>
        <w:br w:type="page"/>
      </w:r>
    </w:p>
    <w:p w14:paraId="156CA4D3">
      <w:pPr>
        <w:pStyle w:val="2"/>
        <w:pageBreakBefore/>
        <w:jc w:val="center"/>
      </w:pPr>
      <w:r>
        <w:t>7</w:t>
      </w:r>
      <w:r>
        <w:rPr>
          <w:rFonts w:hint="eastAsia"/>
        </w:rPr>
        <w:t>、商务需求偏离表</w:t>
      </w:r>
    </w:p>
    <w:p w14:paraId="03FBECF3">
      <w:pPr>
        <w:spacing w:line="360" w:lineRule="auto"/>
        <w:rPr>
          <w:u w:val="single"/>
        </w:rPr>
      </w:pPr>
      <w:r>
        <w:rPr>
          <w:bCs/>
          <w:szCs w:val="21"/>
        </w:rPr>
        <w:t>投标人名称：</w:t>
      </w:r>
      <w:r>
        <w:rPr>
          <w:bCs/>
          <w:szCs w:val="21"/>
          <w:u w:val="single"/>
        </w:rPr>
        <w:t xml:space="preserve">                      </w:t>
      </w:r>
      <w:r>
        <w:rPr>
          <w:bCs/>
          <w:szCs w:val="21"/>
        </w:rPr>
        <w:t xml:space="preserve">         项目编号：</w:t>
      </w:r>
      <w:r>
        <w:rPr>
          <w:bCs/>
          <w:szCs w:val="21"/>
          <w:u w:val="single"/>
        </w:rPr>
        <w:t xml:space="preserve">                      </w:t>
      </w:r>
      <w:r>
        <w:rPr>
          <w:bCs/>
          <w:szCs w:val="21"/>
        </w:rPr>
        <w:t xml:space="preserve"> </w:t>
      </w:r>
    </w:p>
    <w:tbl>
      <w:tblPr>
        <w:tblStyle w:val="1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5"/>
        <w:gridCol w:w="1915"/>
      </w:tblGrid>
      <w:tr w14:paraId="4433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14" w:type="dxa"/>
            <w:shd w:val="clear" w:color="auto" w:fill="auto"/>
            <w:vAlign w:val="center"/>
          </w:tcPr>
          <w:p w14:paraId="72BDE5E4">
            <w:pPr>
              <w:spacing w:line="360" w:lineRule="auto"/>
              <w:jc w:val="center"/>
              <w:rPr>
                <w:b/>
                <w:szCs w:val="21"/>
              </w:rPr>
            </w:pPr>
            <w:r>
              <w:rPr>
                <w:rFonts w:hint="eastAsia" w:ascii="宋体" w:hAnsi="宋体" w:cs="宋体"/>
                <w:b/>
                <w:bCs/>
                <w:color w:val="000000"/>
                <w:kern w:val="0"/>
                <w:szCs w:val="21"/>
              </w:rPr>
              <w:t>序号</w:t>
            </w:r>
          </w:p>
        </w:tc>
        <w:tc>
          <w:tcPr>
            <w:tcW w:w="1914" w:type="dxa"/>
            <w:shd w:val="clear" w:color="auto" w:fill="auto"/>
            <w:vAlign w:val="center"/>
          </w:tcPr>
          <w:p w14:paraId="7A293DD5">
            <w:pPr>
              <w:spacing w:line="360" w:lineRule="auto"/>
              <w:jc w:val="center"/>
              <w:rPr>
                <w:b/>
                <w:szCs w:val="21"/>
              </w:rPr>
            </w:pPr>
            <w:r>
              <w:rPr>
                <w:rFonts w:hint="eastAsia"/>
                <w:b/>
                <w:szCs w:val="21"/>
              </w:rPr>
              <w:t>招标商务条款</w:t>
            </w:r>
          </w:p>
        </w:tc>
        <w:tc>
          <w:tcPr>
            <w:tcW w:w="1914" w:type="dxa"/>
            <w:shd w:val="clear" w:color="auto" w:fill="auto"/>
            <w:vAlign w:val="center"/>
          </w:tcPr>
          <w:p w14:paraId="1B3604B3">
            <w:pPr>
              <w:spacing w:line="360" w:lineRule="auto"/>
              <w:jc w:val="center"/>
              <w:rPr>
                <w:b/>
                <w:szCs w:val="21"/>
              </w:rPr>
            </w:pPr>
            <w:r>
              <w:rPr>
                <w:rFonts w:hint="eastAsia"/>
                <w:b/>
                <w:szCs w:val="21"/>
              </w:rPr>
              <w:t>投标商务条款</w:t>
            </w:r>
          </w:p>
        </w:tc>
        <w:tc>
          <w:tcPr>
            <w:tcW w:w="1915" w:type="dxa"/>
            <w:shd w:val="clear" w:color="auto" w:fill="auto"/>
            <w:vAlign w:val="center"/>
          </w:tcPr>
          <w:p w14:paraId="025F054C">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偏离情况</w:t>
            </w:r>
          </w:p>
        </w:tc>
        <w:tc>
          <w:tcPr>
            <w:tcW w:w="1915" w:type="dxa"/>
            <w:shd w:val="clear" w:color="auto" w:fill="auto"/>
            <w:vAlign w:val="center"/>
          </w:tcPr>
          <w:p w14:paraId="125AE5EA">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说明</w:t>
            </w:r>
          </w:p>
        </w:tc>
      </w:tr>
      <w:tr w14:paraId="5278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74FD1C51">
            <w:pPr>
              <w:spacing w:line="360" w:lineRule="auto"/>
              <w:rPr>
                <w:szCs w:val="21"/>
              </w:rPr>
            </w:pPr>
          </w:p>
        </w:tc>
        <w:tc>
          <w:tcPr>
            <w:tcW w:w="1914" w:type="dxa"/>
            <w:shd w:val="clear" w:color="auto" w:fill="auto"/>
            <w:vAlign w:val="center"/>
          </w:tcPr>
          <w:p w14:paraId="2D345673">
            <w:pPr>
              <w:spacing w:line="360" w:lineRule="auto"/>
              <w:rPr>
                <w:szCs w:val="21"/>
              </w:rPr>
            </w:pPr>
          </w:p>
        </w:tc>
        <w:tc>
          <w:tcPr>
            <w:tcW w:w="1914" w:type="dxa"/>
            <w:shd w:val="clear" w:color="auto" w:fill="auto"/>
            <w:vAlign w:val="center"/>
          </w:tcPr>
          <w:p w14:paraId="4BE5398A">
            <w:pPr>
              <w:spacing w:line="360" w:lineRule="auto"/>
              <w:rPr>
                <w:szCs w:val="21"/>
              </w:rPr>
            </w:pPr>
          </w:p>
        </w:tc>
        <w:tc>
          <w:tcPr>
            <w:tcW w:w="1915" w:type="dxa"/>
            <w:shd w:val="clear" w:color="auto" w:fill="auto"/>
            <w:vAlign w:val="center"/>
          </w:tcPr>
          <w:p w14:paraId="33DD5314">
            <w:pPr>
              <w:spacing w:line="360" w:lineRule="auto"/>
              <w:rPr>
                <w:szCs w:val="21"/>
              </w:rPr>
            </w:pPr>
          </w:p>
        </w:tc>
        <w:tc>
          <w:tcPr>
            <w:tcW w:w="1915" w:type="dxa"/>
            <w:shd w:val="clear" w:color="auto" w:fill="auto"/>
            <w:vAlign w:val="center"/>
          </w:tcPr>
          <w:p w14:paraId="4CC8E7FA">
            <w:pPr>
              <w:spacing w:line="360" w:lineRule="auto"/>
              <w:rPr>
                <w:szCs w:val="21"/>
              </w:rPr>
            </w:pPr>
          </w:p>
        </w:tc>
      </w:tr>
      <w:tr w14:paraId="2ADC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6B4D6047">
            <w:pPr>
              <w:spacing w:line="360" w:lineRule="auto"/>
              <w:rPr>
                <w:szCs w:val="21"/>
              </w:rPr>
            </w:pPr>
          </w:p>
        </w:tc>
        <w:tc>
          <w:tcPr>
            <w:tcW w:w="1914" w:type="dxa"/>
            <w:shd w:val="clear" w:color="auto" w:fill="auto"/>
            <w:vAlign w:val="center"/>
          </w:tcPr>
          <w:p w14:paraId="127372D7">
            <w:pPr>
              <w:spacing w:line="360" w:lineRule="auto"/>
              <w:rPr>
                <w:szCs w:val="21"/>
              </w:rPr>
            </w:pPr>
          </w:p>
        </w:tc>
        <w:tc>
          <w:tcPr>
            <w:tcW w:w="1914" w:type="dxa"/>
            <w:shd w:val="clear" w:color="auto" w:fill="auto"/>
            <w:vAlign w:val="center"/>
          </w:tcPr>
          <w:p w14:paraId="72095D12">
            <w:pPr>
              <w:spacing w:line="360" w:lineRule="auto"/>
              <w:rPr>
                <w:szCs w:val="21"/>
              </w:rPr>
            </w:pPr>
          </w:p>
        </w:tc>
        <w:tc>
          <w:tcPr>
            <w:tcW w:w="1915" w:type="dxa"/>
            <w:shd w:val="clear" w:color="auto" w:fill="auto"/>
            <w:vAlign w:val="center"/>
          </w:tcPr>
          <w:p w14:paraId="6C4479DE">
            <w:pPr>
              <w:spacing w:line="360" w:lineRule="auto"/>
              <w:rPr>
                <w:szCs w:val="21"/>
              </w:rPr>
            </w:pPr>
          </w:p>
        </w:tc>
        <w:tc>
          <w:tcPr>
            <w:tcW w:w="1915" w:type="dxa"/>
            <w:shd w:val="clear" w:color="auto" w:fill="auto"/>
            <w:vAlign w:val="center"/>
          </w:tcPr>
          <w:p w14:paraId="1A041D15">
            <w:pPr>
              <w:spacing w:line="360" w:lineRule="auto"/>
              <w:rPr>
                <w:szCs w:val="21"/>
              </w:rPr>
            </w:pPr>
          </w:p>
        </w:tc>
      </w:tr>
      <w:tr w14:paraId="04B4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63E5F4E4">
            <w:pPr>
              <w:spacing w:line="360" w:lineRule="auto"/>
              <w:rPr>
                <w:szCs w:val="21"/>
              </w:rPr>
            </w:pPr>
          </w:p>
        </w:tc>
        <w:tc>
          <w:tcPr>
            <w:tcW w:w="1914" w:type="dxa"/>
            <w:shd w:val="clear" w:color="auto" w:fill="auto"/>
            <w:vAlign w:val="center"/>
          </w:tcPr>
          <w:p w14:paraId="07F0C8E4">
            <w:pPr>
              <w:spacing w:line="360" w:lineRule="auto"/>
              <w:rPr>
                <w:szCs w:val="21"/>
              </w:rPr>
            </w:pPr>
          </w:p>
        </w:tc>
        <w:tc>
          <w:tcPr>
            <w:tcW w:w="1914" w:type="dxa"/>
            <w:shd w:val="clear" w:color="auto" w:fill="auto"/>
            <w:vAlign w:val="center"/>
          </w:tcPr>
          <w:p w14:paraId="3B57822F">
            <w:pPr>
              <w:spacing w:line="360" w:lineRule="auto"/>
              <w:rPr>
                <w:szCs w:val="21"/>
              </w:rPr>
            </w:pPr>
          </w:p>
        </w:tc>
        <w:tc>
          <w:tcPr>
            <w:tcW w:w="1915" w:type="dxa"/>
            <w:shd w:val="clear" w:color="auto" w:fill="auto"/>
            <w:vAlign w:val="center"/>
          </w:tcPr>
          <w:p w14:paraId="272A171F">
            <w:pPr>
              <w:spacing w:line="360" w:lineRule="auto"/>
              <w:rPr>
                <w:szCs w:val="21"/>
              </w:rPr>
            </w:pPr>
          </w:p>
        </w:tc>
        <w:tc>
          <w:tcPr>
            <w:tcW w:w="1915" w:type="dxa"/>
            <w:shd w:val="clear" w:color="auto" w:fill="auto"/>
            <w:vAlign w:val="center"/>
          </w:tcPr>
          <w:p w14:paraId="14C5D622">
            <w:pPr>
              <w:spacing w:line="360" w:lineRule="auto"/>
              <w:rPr>
                <w:szCs w:val="21"/>
              </w:rPr>
            </w:pPr>
          </w:p>
        </w:tc>
      </w:tr>
      <w:tr w14:paraId="493A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1E041116">
            <w:pPr>
              <w:spacing w:line="360" w:lineRule="auto"/>
              <w:rPr>
                <w:szCs w:val="21"/>
              </w:rPr>
            </w:pPr>
          </w:p>
        </w:tc>
        <w:tc>
          <w:tcPr>
            <w:tcW w:w="1914" w:type="dxa"/>
            <w:shd w:val="clear" w:color="auto" w:fill="auto"/>
            <w:vAlign w:val="center"/>
          </w:tcPr>
          <w:p w14:paraId="1D10335D">
            <w:pPr>
              <w:spacing w:line="360" w:lineRule="auto"/>
              <w:rPr>
                <w:szCs w:val="21"/>
              </w:rPr>
            </w:pPr>
          </w:p>
        </w:tc>
        <w:tc>
          <w:tcPr>
            <w:tcW w:w="1914" w:type="dxa"/>
            <w:shd w:val="clear" w:color="auto" w:fill="auto"/>
            <w:vAlign w:val="center"/>
          </w:tcPr>
          <w:p w14:paraId="118F3D5F">
            <w:pPr>
              <w:spacing w:line="360" w:lineRule="auto"/>
              <w:rPr>
                <w:szCs w:val="21"/>
              </w:rPr>
            </w:pPr>
          </w:p>
        </w:tc>
        <w:tc>
          <w:tcPr>
            <w:tcW w:w="1915" w:type="dxa"/>
            <w:shd w:val="clear" w:color="auto" w:fill="auto"/>
            <w:vAlign w:val="center"/>
          </w:tcPr>
          <w:p w14:paraId="3F321D09">
            <w:pPr>
              <w:spacing w:line="360" w:lineRule="auto"/>
              <w:rPr>
                <w:szCs w:val="21"/>
              </w:rPr>
            </w:pPr>
          </w:p>
        </w:tc>
        <w:tc>
          <w:tcPr>
            <w:tcW w:w="1915" w:type="dxa"/>
            <w:shd w:val="clear" w:color="auto" w:fill="auto"/>
            <w:vAlign w:val="center"/>
          </w:tcPr>
          <w:p w14:paraId="0090AC9A">
            <w:pPr>
              <w:spacing w:line="360" w:lineRule="auto"/>
              <w:rPr>
                <w:szCs w:val="21"/>
              </w:rPr>
            </w:pPr>
          </w:p>
        </w:tc>
      </w:tr>
      <w:tr w14:paraId="5E50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5C4D4B7E">
            <w:pPr>
              <w:spacing w:line="360" w:lineRule="auto"/>
              <w:rPr>
                <w:szCs w:val="21"/>
              </w:rPr>
            </w:pPr>
          </w:p>
        </w:tc>
        <w:tc>
          <w:tcPr>
            <w:tcW w:w="1914" w:type="dxa"/>
            <w:shd w:val="clear" w:color="auto" w:fill="auto"/>
            <w:vAlign w:val="center"/>
          </w:tcPr>
          <w:p w14:paraId="1C55F9A4">
            <w:pPr>
              <w:spacing w:line="360" w:lineRule="auto"/>
              <w:rPr>
                <w:szCs w:val="21"/>
              </w:rPr>
            </w:pPr>
          </w:p>
        </w:tc>
        <w:tc>
          <w:tcPr>
            <w:tcW w:w="1914" w:type="dxa"/>
            <w:shd w:val="clear" w:color="auto" w:fill="auto"/>
            <w:vAlign w:val="center"/>
          </w:tcPr>
          <w:p w14:paraId="2956CC64">
            <w:pPr>
              <w:spacing w:line="360" w:lineRule="auto"/>
              <w:rPr>
                <w:szCs w:val="21"/>
              </w:rPr>
            </w:pPr>
          </w:p>
        </w:tc>
        <w:tc>
          <w:tcPr>
            <w:tcW w:w="1915" w:type="dxa"/>
            <w:shd w:val="clear" w:color="auto" w:fill="auto"/>
            <w:vAlign w:val="center"/>
          </w:tcPr>
          <w:p w14:paraId="01EBDA92">
            <w:pPr>
              <w:spacing w:line="360" w:lineRule="auto"/>
              <w:rPr>
                <w:szCs w:val="21"/>
              </w:rPr>
            </w:pPr>
          </w:p>
        </w:tc>
        <w:tc>
          <w:tcPr>
            <w:tcW w:w="1915" w:type="dxa"/>
            <w:shd w:val="clear" w:color="auto" w:fill="auto"/>
            <w:vAlign w:val="center"/>
          </w:tcPr>
          <w:p w14:paraId="502CB608">
            <w:pPr>
              <w:spacing w:line="360" w:lineRule="auto"/>
              <w:rPr>
                <w:szCs w:val="21"/>
              </w:rPr>
            </w:pPr>
          </w:p>
        </w:tc>
      </w:tr>
    </w:tbl>
    <w:p w14:paraId="4384F592">
      <w:pPr>
        <w:rPr>
          <w:sz w:val="20"/>
          <w:szCs w:val="20"/>
        </w:rPr>
      </w:pPr>
      <w:r>
        <w:rPr>
          <w:rFonts w:hint="eastAsia"/>
          <w:sz w:val="20"/>
          <w:szCs w:val="20"/>
        </w:rPr>
        <w:t>备注：1. “偏离情况”栏中应填写“正偏离”、“负偏离”或“无偏离”。</w:t>
      </w:r>
    </w:p>
    <w:p w14:paraId="5ECDC7DD">
      <w:pPr>
        <w:ind w:firstLine="600" w:firstLineChars="300"/>
        <w:rPr>
          <w:sz w:val="20"/>
          <w:szCs w:val="20"/>
        </w:rPr>
      </w:pPr>
      <w:r>
        <w:rPr>
          <w:rFonts w:hint="eastAsia"/>
          <w:sz w:val="20"/>
          <w:szCs w:val="20"/>
        </w:rPr>
        <w:t>2. “商务需求偏离表”一栏须详细按招标商务需求的主要内容摘要填写。</w:t>
      </w:r>
    </w:p>
    <w:p w14:paraId="177963B9">
      <w:pPr>
        <w:pStyle w:val="22"/>
        <w:spacing w:line="240" w:lineRule="auto"/>
        <w:ind w:firstLine="600" w:firstLineChars="300"/>
        <w:rPr>
          <w:rFonts w:asciiTheme="minorHAnsi"/>
          <w:kern w:val="2"/>
          <w:sz w:val="20"/>
        </w:rPr>
      </w:pPr>
      <w:r>
        <w:rPr>
          <w:rFonts w:hint="eastAsia" w:asciiTheme="minorHAnsi"/>
          <w:kern w:val="2"/>
          <w:sz w:val="20"/>
        </w:rPr>
        <w:t>3</w:t>
      </w:r>
      <w:r>
        <w:rPr>
          <w:rFonts w:asciiTheme="minorHAnsi"/>
          <w:kern w:val="2"/>
          <w:sz w:val="20"/>
        </w:rPr>
        <w:t>.</w:t>
      </w:r>
      <w:r>
        <w:rPr>
          <w:rFonts w:hint="eastAsia" w:asciiTheme="minorHAnsi"/>
          <w:kern w:val="2"/>
          <w:sz w:val="20"/>
        </w:rPr>
        <w:t xml:space="preserve"> “★”条款不可负偏离，否则做废标处理。</w:t>
      </w:r>
    </w:p>
    <w:p w14:paraId="26F35C0B">
      <w:pPr>
        <w:pStyle w:val="22"/>
        <w:ind w:firstLine="420"/>
      </w:pPr>
    </w:p>
    <w:p w14:paraId="611ECF70">
      <w:pPr>
        <w:widowControl/>
        <w:jc w:val="left"/>
        <w:rPr>
          <w:rFonts w:ascii="长城仿宋"/>
          <w:kern w:val="0"/>
          <w:szCs w:val="20"/>
        </w:rPr>
      </w:pPr>
      <w:r>
        <w:br w:type="page"/>
      </w:r>
    </w:p>
    <w:p w14:paraId="7608D36D">
      <w:pPr>
        <w:pStyle w:val="2"/>
        <w:pageBreakBefore/>
        <w:jc w:val="center"/>
      </w:pPr>
      <w:r>
        <w:t>8</w:t>
      </w:r>
      <w:r>
        <w:rPr>
          <w:rFonts w:hint="eastAsia"/>
        </w:rPr>
        <w:t>、同类项目业绩</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134"/>
        <w:gridCol w:w="2209"/>
        <w:gridCol w:w="1355"/>
        <w:gridCol w:w="1397"/>
        <w:gridCol w:w="1355"/>
      </w:tblGrid>
      <w:tr w14:paraId="0874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14:paraId="4BA3F156">
            <w:pPr>
              <w:jc w:val="center"/>
            </w:pPr>
            <w:r>
              <w:rPr>
                <w:rFonts w:hint="eastAsia"/>
              </w:rPr>
              <w:t>序号</w:t>
            </w:r>
          </w:p>
        </w:tc>
        <w:tc>
          <w:tcPr>
            <w:tcW w:w="1134" w:type="dxa"/>
            <w:vAlign w:val="center"/>
          </w:tcPr>
          <w:p w14:paraId="6B6E4A14">
            <w:pPr>
              <w:jc w:val="center"/>
            </w:pPr>
            <w:r>
              <w:rPr>
                <w:rFonts w:hint="eastAsia"/>
              </w:rPr>
              <w:t>采购单位</w:t>
            </w:r>
          </w:p>
        </w:tc>
        <w:tc>
          <w:tcPr>
            <w:tcW w:w="2209" w:type="dxa"/>
            <w:vAlign w:val="center"/>
          </w:tcPr>
          <w:p w14:paraId="011CD94E">
            <w:pPr>
              <w:jc w:val="center"/>
            </w:pPr>
            <w:r>
              <w:rPr>
                <w:rFonts w:hint="eastAsia"/>
              </w:rPr>
              <w:t>项目名称</w:t>
            </w:r>
          </w:p>
        </w:tc>
        <w:tc>
          <w:tcPr>
            <w:tcW w:w="1355" w:type="dxa"/>
            <w:vAlign w:val="center"/>
          </w:tcPr>
          <w:p w14:paraId="4AC93883">
            <w:pPr>
              <w:jc w:val="center"/>
            </w:pPr>
            <w:r>
              <w:rPr>
                <w:rFonts w:hint="eastAsia"/>
              </w:rPr>
              <w:t>签订时间</w:t>
            </w:r>
          </w:p>
        </w:tc>
        <w:tc>
          <w:tcPr>
            <w:tcW w:w="1397" w:type="dxa"/>
            <w:vAlign w:val="center"/>
          </w:tcPr>
          <w:p w14:paraId="2489D5C1">
            <w:pPr>
              <w:jc w:val="center"/>
            </w:pPr>
            <w:r>
              <w:rPr>
                <w:rFonts w:hint="eastAsia"/>
              </w:rPr>
              <w:t>合同金额</w:t>
            </w:r>
          </w:p>
        </w:tc>
        <w:tc>
          <w:tcPr>
            <w:tcW w:w="1355" w:type="dxa"/>
            <w:vAlign w:val="center"/>
          </w:tcPr>
          <w:p w14:paraId="56DA1C16">
            <w:pPr>
              <w:jc w:val="center"/>
            </w:pPr>
            <w:r>
              <w:rPr>
                <w:rFonts w:hint="eastAsia"/>
              </w:rPr>
              <w:t>采购单位联系人</w:t>
            </w:r>
          </w:p>
        </w:tc>
      </w:tr>
      <w:tr w14:paraId="6EF1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4094C4E"/>
        </w:tc>
        <w:tc>
          <w:tcPr>
            <w:tcW w:w="1134" w:type="dxa"/>
          </w:tcPr>
          <w:p w14:paraId="23C130F7"/>
        </w:tc>
        <w:tc>
          <w:tcPr>
            <w:tcW w:w="2209" w:type="dxa"/>
          </w:tcPr>
          <w:p w14:paraId="45804B79"/>
        </w:tc>
        <w:tc>
          <w:tcPr>
            <w:tcW w:w="1355" w:type="dxa"/>
          </w:tcPr>
          <w:p w14:paraId="65DC2F54"/>
        </w:tc>
        <w:tc>
          <w:tcPr>
            <w:tcW w:w="1397" w:type="dxa"/>
          </w:tcPr>
          <w:p w14:paraId="4B10A991"/>
        </w:tc>
        <w:tc>
          <w:tcPr>
            <w:tcW w:w="1355" w:type="dxa"/>
          </w:tcPr>
          <w:p w14:paraId="594609C6"/>
        </w:tc>
      </w:tr>
      <w:tr w14:paraId="1003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E27ABCA"/>
        </w:tc>
        <w:tc>
          <w:tcPr>
            <w:tcW w:w="1134" w:type="dxa"/>
          </w:tcPr>
          <w:p w14:paraId="62F63754"/>
        </w:tc>
        <w:tc>
          <w:tcPr>
            <w:tcW w:w="2209" w:type="dxa"/>
          </w:tcPr>
          <w:p w14:paraId="1AB56E48"/>
        </w:tc>
        <w:tc>
          <w:tcPr>
            <w:tcW w:w="1355" w:type="dxa"/>
          </w:tcPr>
          <w:p w14:paraId="3D546EB0"/>
        </w:tc>
        <w:tc>
          <w:tcPr>
            <w:tcW w:w="1397" w:type="dxa"/>
          </w:tcPr>
          <w:p w14:paraId="6B27280E"/>
        </w:tc>
        <w:tc>
          <w:tcPr>
            <w:tcW w:w="1355" w:type="dxa"/>
          </w:tcPr>
          <w:p w14:paraId="5838A449"/>
        </w:tc>
      </w:tr>
      <w:tr w14:paraId="5AAD1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C983D78"/>
        </w:tc>
        <w:tc>
          <w:tcPr>
            <w:tcW w:w="1134" w:type="dxa"/>
          </w:tcPr>
          <w:p w14:paraId="277B240C"/>
        </w:tc>
        <w:tc>
          <w:tcPr>
            <w:tcW w:w="2209" w:type="dxa"/>
          </w:tcPr>
          <w:p w14:paraId="3A22B926"/>
        </w:tc>
        <w:tc>
          <w:tcPr>
            <w:tcW w:w="1355" w:type="dxa"/>
          </w:tcPr>
          <w:p w14:paraId="6125CA02"/>
        </w:tc>
        <w:tc>
          <w:tcPr>
            <w:tcW w:w="1397" w:type="dxa"/>
          </w:tcPr>
          <w:p w14:paraId="01C39B74"/>
        </w:tc>
        <w:tc>
          <w:tcPr>
            <w:tcW w:w="1355" w:type="dxa"/>
          </w:tcPr>
          <w:p w14:paraId="482F53C2"/>
        </w:tc>
      </w:tr>
    </w:tbl>
    <w:p w14:paraId="3C523888">
      <w:r>
        <w:rPr>
          <w:rFonts w:hint="eastAsia"/>
        </w:rPr>
        <w:t>备注：须提供同类项目合同关键页。</w:t>
      </w:r>
    </w:p>
    <w:p w14:paraId="394F9D5C">
      <w:pPr>
        <w:spacing w:line="360" w:lineRule="auto"/>
      </w:pPr>
    </w:p>
    <w:p w14:paraId="3E54B81A">
      <w:pPr>
        <w:spacing w:line="360" w:lineRule="auto"/>
      </w:pPr>
      <w:r>
        <w:rPr>
          <w:rFonts w:hint="eastAsia"/>
        </w:rPr>
        <w:t>投标单位（</w:t>
      </w:r>
      <w:r>
        <w:t>盖章</w:t>
      </w:r>
      <w:r>
        <w:rPr>
          <w:rFonts w:hint="eastAsia"/>
        </w:rPr>
        <w:t>）</w:t>
      </w:r>
      <w:r>
        <w:t>：</w:t>
      </w:r>
    </w:p>
    <w:p w14:paraId="53278394">
      <w:pPr>
        <w:spacing w:line="360" w:lineRule="auto"/>
      </w:pPr>
      <w:r>
        <w:rPr>
          <w:rFonts w:hint="eastAsia"/>
        </w:rPr>
        <w:t>法定代表人或其委托代理人：</w:t>
      </w:r>
      <w:r>
        <w:t>（签字）：</w:t>
      </w:r>
    </w:p>
    <w:p w14:paraId="2DEF9F35">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14:paraId="5CBB70F2">
      <w:pPr>
        <w:pStyle w:val="22"/>
        <w:ind w:firstLine="420"/>
      </w:pPr>
    </w:p>
    <w:p w14:paraId="789E6B62">
      <w:pPr>
        <w:bidi w:val="0"/>
        <w:rPr>
          <w:rFonts w:hint="eastAsia"/>
        </w:rPr>
      </w:pPr>
    </w:p>
    <w:p w14:paraId="55EF82A6">
      <w:pPr>
        <w:bidi w:val="0"/>
        <w:rPr>
          <w:rFonts w:hint="eastAsia"/>
        </w:rPr>
      </w:pPr>
    </w:p>
    <w:p w14:paraId="574140B3">
      <w:pPr>
        <w:bidi w:val="0"/>
        <w:rPr>
          <w:rFonts w:hint="eastAsia"/>
        </w:rPr>
      </w:pPr>
    </w:p>
    <w:p w14:paraId="1DC110E4">
      <w:pPr>
        <w:bidi w:val="0"/>
        <w:rPr>
          <w:rFonts w:hint="eastAsia"/>
        </w:rPr>
      </w:pPr>
    </w:p>
    <w:p w14:paraId="1BBA5331">
      <w:pPr>
        <w:bidi w:val="0"/>
        <w:rPr>
          <w:rFonts w:hint="eastAsia"/>
        </w:rPr>
      </w:pPr>
    </w:p>
    <w:p w14:paraId="6FC5AD67">
      <w:pPr>
        <w:bidi w:val="0"/>
        <w:rPr>
          <w:rFonts w:hint="eastAsia"/>
        </w:rPr>
      </w:pPr>
    </w:p>
    <w:p w14:paraId="62BB0F13">
      <w:pPr>
        <w:bidi w:val="0"/>
        <w:rPr>
          <w:rFonts w:hint="eastAsia"/>
        </w:rPr>
      </w:pPr>
    </w:p>
    <w:p w14:paraId="6A526C16">
      <w:pPr>
        <w:bidi w:val="0"/>
        <w:rPr>
          <w:rFonts w:hint="eastAsia"/>
        </w:rPr>
      </w:pPr>
    </w:p>
    <w:p w14:paraId="6A842C73">
      <w:pPr>
        <w:bidi w:val="0"/>
        <w:rPr>
          <w:rFonts w:hint="eastAsia"/>
        </w:rPr>
      </w:pPr>
    </w:p>
    <w:p w14:paraId="5AF24E58">
      <w:pPr>
        <w:bidi w:val="0"/>
        <w:rPr>
          <w:rFonts w:hint="eastAsia"/>
        </w:rPr>
      </w:pPr>
    </w:p>
    <w:p w14:paraId="198A6486">
      <w:pPr>
        <w:bidi w:val="0"/>
        <w:rPr>
          <w:rFonts w:hint="eastAsia"/>
        </w:rPr>
      </w:pPr>
    </w:p>
    <w:p w14:paraId="15E72FD1">
      <w:pPr>
        <w:bidi w:val="0"/>
        <w:rPr>
          <w:rFonts w:hint="eastAsia"/>
        </w:rPr>
      </w:pPr>
    </w:p>
    <w:p w14:paraId="177647A0">
      <w:pPr>
        <w:bidi w:val="0"/>
        <w:rPr>
          <w:rFonts w:hint="eastAsia"/>
        </w:rPr>
      </w:pPr>
    </w:p>
    <w:p w14:paraId="38358BEF">
      <w:pPr>
        <w:bidi w:val="0"/>
        <w:rPr>
          <w:rFonts w:hint="eastAsia"/>
        </w:rPr>
      </w:pPr>
    </w:p>
    <w:p w14:paraId="2AB6FE2E">
      <w:pPr>
        <w:bidi w:val="0"/>
        <w:rPr>
          <w:rFonts w:hint="eastAsia"/>
        </w:rPr>
      </w:pPr>
    </w:p>
    <w:p w14:paraId="0F498303">
      <w:pPr>
        <w:bidi w:val="0"/>
        <w:rPr>
          <w:rFonts w:hint="eastAsia"/>
        </w:rPr>
      </w:pPr>
    </w:p>
    <w:p w14:paraId="377C1C4B">
      <w:pPr>
        <w:bidi w:val="0"/>
        <w:rPr>
          <w:rFonts w:hint="eastAsia"/>
        </w:rPr>
      </w:pPr>
    </w:p>
    <w:p w14:paraId="4B39EEC4">
      <w:pPr>
        <w:bidi w:val="0"/>
        <w:rPr>
          <w:rFonts w:hint="eastAsia"/>
        </w:rPr>
      </w:pPr>
    </w:p>
    <w:p w14:paraId="492544CD">
      <w:pPr>
        <w:bidi w:val="0"/>
        <w:rPr>
          <w:rFonts w:hint="eastAsia"/>
        </w:rPr>
      </w:pPr>
    </w:p>
    <w:p w14:paraId="278E1267">
      <w:pPr>
        <w:bidi w:val="0"/>
        <w:rPr>
          <w:rFonts w:hint="eastAsia"/>
        </w:rPr>
      </w:pPr>
    </w:p>
    <w:p w14:paraId="761639E3">
      <w:pPr>
        <w:bidi w:val="0"/>
        <w:rPr>
          <w:rFonts w:hint="eastAsia"/>
        </w:rPr>
      </w:pPr>
    </w:p>
    <w:p w14:paraId="3F68486B">
      <w:pPr>
        <w:bidi w:val="0"/>
        <w:rPr>
          <w:rFonts w:hint="eastAsia"/>
        </w:rPr>
      </w:pPr>
    </w:p>
    <w:p w14:paraId="41A438E5">
      <w:pPr>
        <w:bidi w:val="0"/>
        <w:rPr>
          <w:rFonts w:hint="eastAsia"/>
        </w:rPr>
      </w:pPr>
    </w:p>
    <w:p w14:paraId="6984FD43">
      <w:pPr>
        <w:bidi w:val="0"/>
        <w:rPr>
          <w:rFonts w:hint="eastAsia"/>
        </w:rPr>
      </w:pPr>
    </w:p>
    <w:p w14:paraId="6F444995">
      <w:pPr>
        <w:bidi w:val="0"/>
        <w:rPr>
          <w:rFonts w:hint="eastAsia"/>
        </w:rPr>
      </w:pPr>
    </w:p>
    <w:p w14:paraId="2FF72B6D">
      <w:pPr>
        <w:bidi w:val="0"/>
        <w:rPr>
          <w:rFonts w:hint="eastAsia"/>
        </w:rPr>
      </w:pPr>
    </w:p>
    <w:p w14:paraId="3A176937">
      <w:pPr>
        <w:bidi w:val="0"/>
        <w:rPr>
          <w:rFonts w:hint="eastAsia"/>
        </w:rPr>
      </w:pPr>
    </w:p>
    <w:p w14:paraId="1DE8D2B3">
      <w:pPr>
        <w:pStyle w:val="2"/>
        <w:pageBreakBefore/>
        <w:jc w:val="center"/>
      </w:pPr>
      <w:r>
        <w:rPr>
          <w:rFonts w:hint="eastAsia"/>
          <w:lang w:val="en-US" w:eastAsia="zh-CN"/>
        </w:rPr>
        <w:t>9</w:t>
      </w:r>
      <w:r>
        <w:rPr>
          <w:rFonts w:hint="eastAsia"/>
        </w:rPr>
        <w:t>、其它（</w:t>
      </w:r>
      <w:r>
        <w:rPr>
          <w:rFonts w:hint="eastAsia"/>
          <w:lang w:val="en-US"/>
        </w:rPr>
        <w:t>格式自拟</w:t>
      </w:r>
      <w:r>
        <w:rPr>
          <w:rFonts w:hint="eastAsia"/>
        </w:rPr>
        <w:t>）</w:t>
      </w:r>
    </w:p>
    <w:p w14:paraId="07E7EE41">
      <w:pPr>
        <w:spacing w:line="360" w:lineRule="auto"/>
        <w:ind w:firstLine="495"/>
        <w:rPr>
          <w:rFonts w:ascii="宋体" w:hAnsi="宋体"/>
          <w:szCs w:val="24"/>
        </w:rPr>
      </w:pPr>
      <w:r>
        <w:rPr>
          <w:rFonts w:hint="eastAsia" w:ascii="宋体" w:hAnsi="宋体"/>
          <w:szCs w:val="24"/>
        </w:rPr>
        <w:t>1、投标供应商资格证明文件；</w:t>
      </w:r>
    </w:p>
    <w:p w14:paraId="67ABE331">
      <w:pPr>
        <w:spacing w:line="360" w:lineRule="auto"/>
        <w:ind w:firstLine="495"/>
        <w:rPr>
          <w:rFonts w:ascii="宋体" w:hAnsi="宋体"/>
          <w:szCs w:val="24"/>
        </w:rPr>
      </w:pPr>
      <w:r>
        <w:rPr>
          <w:rFonts w:ascii="宋体" w:hAnsi="宋体"/>
          <w:szCs w:val="24"/>
        </w:rPr>
        <w:t>2</w:t>
      </w:r>
      <w:r>
        <w:rPr>
          <w:rFonts w:hint="eastAsia" w:ascii="宋体" w:hAnsi="宋体"/>
          <w:szCs w:val="24"/>
        </w:rPr>
        <w:t>、技术保障措施</w:t>
      </w:r>
    </w:p>
    <w:p w14:paraId="4837B5C1">
      <w:pPr>
        <w:spacing w:line="360" w:lineRule="auto"/>
        <w:ind w:firstLine="495"/>
        <w:rPr>
          <w:rFonts w:ascii="宋体" w:hAnsi="宋体"/>
          <w:szCs w:val="24"/>
        </w:rPr>
      </w:pPr>
      <w:r>
        <w:rPr>
          <w:rFonts w:hint="eastAsia" w:ascii="宋体" w:hAnsi="宋体"/>
          <w:szCs w:val="24"/>
        </w:rPr>
        <w:t>3、其他投标人认为可补充材料或招标要求的材料</w:t>
      </w:r>
    </w:p>
    <w:p w14:paraId="29B2F89C">
      <w:pPr>
        <w:pStyle w:val="2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67235"/>
    </w:sdtPr>
    <w:sdtContent>
      <w:sdt>
        <w:sdtPr>
          <w:id w:val="171357217"/>
        </w:sdtPr>
        <w:sdtContent>
          <w:p w14:paraId="7A04FA40">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14:paraId="2C01557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364F6F7"/>
    <w:multiLevelType w:val="multilevel"/>
    <w:tmpl w:val="7364F6F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262BF0"/>
    <w:multiLevelType w:val="singleLevel"/>
    <w:tmpl w:val="79262BF0"/>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OWYwYzFhOTVjNWVjZjcwOGY2NGIxMTAwM2Y1ZDkifQ=="/>
  </w:docVars>
  <w:rsids>
    <w:rsidRoot w:val="07D64A5B"/>
    <w:rsid w:val="000075D1"/>
    <w:rsid w:val="000263B1"/>
    <w:rsid w:val="000502ED"/>
    <w:rsid w:val="00066C1C"/>
    <w:rsid w:val="00073B3B"/>
    <w:rsid w:val="0007424A"/>
    <w:rsid w:val="000A1550"/>
    <w:rsid w:val="000C007D"/>
    <w:rsid w:val="000E32A8"/>
    <w:rsid w:val="000F065A"/>
    <w:rsid w:val="000F6C02"/>
    <w:rsid w:val="0013093F"/>
    <w:rsid w:val="00134C51"/>
    <w:rsid w:val="001476B6"/>
    <w:rsid w:val="00164B35"/>
    <w:rsid w:val="0018752D"/>
    <w:rsid w:val="001900F4"/>
    <w:rsid w:val="00191295"/>
    <w:rsid w:val="001A0C4E"/>
    <w:rsid w:val="001B14FD"/>
    <w:rsid w:val="001D5274"/>
    <w:rsid w:val="001E0BF7"/>
    <w:rsid w:val="001E4354"/>
    <w:rsid w:val="001F22B7"/>
    <w:rsid w:val="001F4639"/>
    <w:rsid w:val="002031B0"/>
    <w:rsid w:val="00203559"/>
    <w:rsid w:val="00230640"/>
    <w:rsid w:val="0023569A"/>
    <w:rsid w:val="00242DEE"/>
    <w:rsid w:val="00244727"/>
    <w:rsid w:val="00284597"/>
    <w:rsid w:val="002C0EBA"/>
    <w:rsid w:val="002C4BD4"/>
    <w:rsid w:val="002D79EC"/>
    <w:rsid w:val="002E0F08"/>
    <w:rsid w:val="00315A72"/>
    <w:rsid w:val="0032084D"/>
    <w:rsid w:val="00327EE8"/>
    <w:rsid w:val="00333E0F"/>
    <w:rsid w:val="00354CE9"/>
    <w:rsid w:val="00361E05"/>
    <w:rsid w:val="00370505"/>
    <w:rsid w:val="00371CBF"/>
    <w:rsid w:val="00386275"/>
    <w:rsid w:val="003A5738"/>
    <w:rsid w:val="003C069A"/>
    <w:rsid w:val="003E3CD1"/>
    <w:rsid w:val="003F09EE"/>
    <w:rsid w:val="003F0ACE"/>
    <w:rsid w:val="003F0DC0"/>
    <w:rsid w:val="003F16F7"/>
    <w:rsid w:val="00402048"/>
    <w:rsid w:val="00434BD0"/>
    <w:rsid w:val="004648F1"/>
    <w:rsid w:val="004C235B"/>
    <w:rsid w:val="004C68F1"/>
    <w:rsid w:val="004C7866"/>
    <w:rsid w:val="004D3758"/>
    <w:rsid w:val="004D51E5"/>
    <w:rsid w:val="004F11E7"/>
    <w:rsid w:val="00550ED0"/>
    <w:rsid w:val="0056201C"/>
    <w:rsid w:val="005650E2"/>
    <w:rsid w:val="00567A40"/>
    <w:rsid w:val="005904B2"/>
    <w:rsid w:val="00595271"/>
    <w:rsid w:val="005A3EF7"/>
    <w:rsid w:val="005B7938"/>
    <w:rsid w:val="005C62B7"/>
    <w:rsid w:val="005E411C"/>
    <w:rsid w:val="005F1DC2"/>
    <w:rsid w:val="00617028"/>
    <w:rsid w:val="00631BCF"/>
    <w:rsid w:val="006355B7"/>
    <w:rsid w:val="006417BA"/>
    <w:rsid w:val="0067440E"/>
    <w:rsid w:val="006808A1"/>
    <w:rsid w:val="006A6807"/>
    <w:rsid w:val="006A6F44"/>
    <w:rsid w:val="006E2CDB"/>
    <w:rsid w:val="006F1D1C"/>
    <w:rsid w:val="006F3FFE"/>
    <w:rsid w:val="00704D2C"/>
    <w:rsid w:val="00714558"/>
    <w:rsid w:val="007179E6"/>
    <w:rsid w:val="0072585F"/>
    <w:rsid w:val="00734085"/>
    <w:rsid w:val="00735AE9"/>
    <w:rsid w:val="00743883"/>
    <w:rsid w:val="0074488B"/>
    <w:rsid w:val="007448F2"/>
    <w:rsid w:val="0075366B"/>
    <w:rsid w:val="007A4053"/>
    <w:rsid w:val="007B2B47"/>
    <w:rsid w:val="007D0584"/>
    <w:rsid w:val="007E2DD5"/>
    <w:rsid w:val="007F7180"/>
    <w:rsid w:val="00866ADE"/>
    <w:rsid w:val="0087728F"/>
    <w:rsid w:val="00881F2A"/>
    <w:rsid w:val="00891F35"/>
    <w:rsid w:val="008972F0"/>
    <w:rsid w:val="008A401E"/>
    <w:rsid w:val="008D1810"/>
    <w:rsid w:val="008D3F5D"/>
    <w:rsid w:val="00947913"/>
    <w:rsid w:val="00950010"/>
    <w:rsid w:val="0096338F"/>
    <w:rsid w:val="00981DF3"/>
    <w:rsid w:val="009D062C"/>
    <w:rsid w:val="009E0C70"/>
    <w:rsid w:val="009E6F17"/>
    <w:rsid w:val="00A23017"/>
    <w:rsid w:val="00A334CB"/>
    <w:rsid w:val="00A413A4"/>
    <w:rsid w:val="00A44C64"/>
    <w:rsid w:val="00A615C9"/>
    <w:rsid w:val="00A61BA6"/>
    <w:rsid w:val="00A95228"/>
    <w:rsid w:val="00AD2E18"/>
    <w:rsid w:val="00AF3081"/>
    <w:rsid w:val="00B034D8"/>
    <w:rsid w:val="00B079FB"/>
    <w:rsid w:val="00B10E4B"/>
    <w:rsid w:val="00B15777"/>
    <w:rsid w:val="00B16A2F"/>
    <w:rsid w:val="00B23AD1"/>
    <w:rsid w:val="00B3419D"/>
    <w:rsid w:val="00B355C4"/>
    <w:rsid w:val="00B50759"/>
    <w:rsid w:val="00B51509"/>
    <w:rsid w:val="00B80B80"/>
    <w:rsid w:val="00B8282A"/>
    <w:rsid w:val="00BB4878"/>
    <w:rsid w:val="00BC5247"/>
    <w:rsid w:val="00BC7B70"/>
    <w:rsid w:val="00C03BB4"/>
    <w:rsid w:val="00C0649C"/>
    <w:rsid w:val="00C138DB"/>
    <w:rsid w:val="00C156CA"/>
    <w:rsid w:val="00C334CC"/>
    <w:rsid w:val="00C41F7D"/>
    <w:rsid w:val="00C67D53"/>
    <w:rsid w:val="00C80B1B"/>
    <w:rsid w:val="00C81058"/>
    <w:rsid w:val="00C91F41"/>
    <w:rsid w:val="00CC2F6D"/>
    <w:rsid w:val="00D217AE"/>
    <w:rsid w:val="00D22F6E"/>
    <w:rsid w:val="00D2673D"/>
    <w:rsid w:val="00D363AF"/>
    <w:rsid w:val="00D4399C"/>
    <w:rsid w:val="00D52C12"/>
    <w:rsid w:val="00D60A87"/>
    <w:rsid w:val="00D672A0"/>
    <w:rsid w:val="00D83AE7"/>
    <w:rsid w:val="00D92F70"/>
    <w:rsid w:val="00DA0683"/>
    <w:rsid w:val="00DB7443"/>
    <w:rsid w:val="00DC0858"/>
    <w:rsid w:val="00DD5967"/>
    <w:rsid w:val="00DE0DE5"/>
    <w:rsid w:val="00E121B6"/>
    <w:rsid w:val="00E1300F"/>
    <w:rsid w:val="00E14D0E"/>
    <w:rsid w:val="00E45EC9"/>
    <w:rsid w:val="00E47968"/>
    <w:rsid w:val="00E54D08"/>
    <w:rsid w:val="00E70ECC"/>
    <w:rsid w:val="00E87A15"/>
    <w:rsid w:val="00E90F8B"/>
    <w:rsid w:val="00E955B4"/>
    <w:rsid w:val="00EA3A06"/>
    <w:rsid w:val="00EE0338"/>
    <w:rsid w:val="00EF51B0"/>
    <w:rsid w:val="00EF620A"/>
    <w:rsid w:val="00F07C3B"/>
    <w:rsid w:val="00F100C3"/>
    <w:rsid w:val="00F31C71"/>
    <w:rsid w:val="00F467D6"/>
    <w:rsid w:val="00F56738"/>
    <w:rsid w:val="00F6484B"/>
    <w:rsid w:val="00F8483E"/>
    <w:rsid w:val="00F86BCE"/>
    <w:rsid w:val="00FA48C5"/>
    <w:rsid w:val="00FD31BB"/>
    <w:rsid w:val="02F61288"/>
    <w:rsid w:val="07D64A5B"/>
    <w:rsid w:val="0BF53ACC"/>
    <w:rsid w:val="0FDE021F"/>
    <w:rsid w:val="101F7B65"/>
    <w:rsid w:val="115225C6"/>
    <w:rsid w:val="15BB2412"/>
    <w:rsid w:val="164B2323"/>
    <w:rsid w:val="167E48D9"/>
    <w:rsid w:val="184C20A2"/>
    <w:rsid w:val="1A525E4B"/>
    <w:rsid w:val="26424579"/>
    <w:rsid w:val="26EB4205"/>
    <w:rsid w:val="27033A16"/>
    <w:rsid w:val="28024EA0"/>
    <w:rsid w:val="2B0F79DE"/>
    <w:rsid w:val="2E1F24FA"/>
    <w:rsid w:val="2EF81422"/>
    <w:rsid w:val="31EA23EF"/>
    <w:rsid w:val="348D026F"/>
    <w:rsid w:val="38D10F35"/>
    <w:rsid w:val="3E7D46E9"/>
    <w:rsid w:val="3FDA0844"/>
    <w:rsid w:val="40994BEC"/>
    <w:rsid w:val="40CE32DE"/>
    <w:rsid w:val="42641A5C"/>
    <w:rsid w:val="46603D2D"/>
    <w:rsid w:val="520E5830"/>
    <w:rsid w:val="536D04E9"/>
    <w:rsid w:val="5A4C7C12"/>
    <w:rsid w:val="5CF73DB4"/>
    <w:rsid w:val="5FEA46E0"/>
    <w:rsid w:val="657125A4"/>
    <w:rsid w:val="65CD4EA0"/>
    <w:rsid w:val="6AA064EC"/>
    <w:rsid w:val="6B8B1345"/>
    <w:rsid w:val="6EB33DD3"/>
    <w:rsid w:val="6EE773AC"/>
    <w:rsid w:val="70995D25"/>
    <w:rsid w:val="749E5641"/>
    <w:rsid w:val="74E21B40"/>
    <w:rsid w:val="75B2145E"/>
    <w:rsid w:val="77084714"/>
    <w:rsid w:val="773D1681"/>
    <w:rsid w:val="77B4057B"/>
    <w:rsid w:val="79A1359A"/>
    <w:rsid w:val="7D126CCF"/>
    <w:rsid w:val="7D48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unhideWhenUsed/>
    <w:qFormat/>
    <w:uiPriority w:val="9"/>
    <w:pPr>
      <w:keepNext/>
      <w:keepLines/>
      <w:spacing w:before="260" w:after="260" w:line="415" w:lineRule="auto"/>
      <w:outlineLvl w:val="1"/>
    </w:pPr>
    <w:rPr>
      <w:rFonts w:ascii="宋体" w:hAnsi="宋体" w:eastAsia="宋体" w:cs="宋体"/>
      <w:b/>
      <w:bCs/>
      <w:kern w:val="0"/>
      <w:sz w:val="24"/>
      <w:szCs w:val="24"/>
      <w:lang w:val="zh-CN"/>
    </w:rPr>
  </w:style>
  <w:style w:type="paragraph" w:styleId="3">
    <w:name w:val="heading 3"/>
    <w:basedOn w:val="1"/>
    <w:next w:val="1"/>
    <w:link w:val="28"/>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qFormat/>
    <w:uiPriority w:val="0"/>
    <w:pPr>
      <w:jc w:val="left"/>
    </w:pPr>
  </w:style>
  <w:style w:type="paragraph" w:styleId="5">
    <w:name w:val="Body Text"/>
    <w:basedOn w:val="1"/>
    <w:link w:val="32"/>
    <w:unhideWhenUsed/>
    <w:qFormat/>
    <w:uiPriority w:val="99"/>
    <w:pPr>
      <w:spacing w:after="120"/>
    </w:pPr>
    <w:rPr>
      <w:rFonts w:hint="eastAsia"/>
    </w:rPr>
  </w:style>
  <w:style w:type="paragraph" w:styleId="6">
    <w:name w:val="Body Text Indent"/>
    <w:basedOn w:val="1"/>
    <w:link w:val="29"/>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Balloon Text"/>
    <w:basedOn w:val="1"/>
    <w:link w:val="3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7"/>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styleId="13">
    <w:name w:val="annotation subject"/>
    <w:basedOn w:val="4"/>
    <w:next w:val="4"/>
    <w:link w:val="34"/>
    <w:qFormat/>
    <w:uiPriority w:val="0"/>
    <w:rPr>
      <w:b/>
      <w:bCs/>
    </w:rPr>
  </w:style>
  <w:style w:type="paragraph" w:styleId="14">
    <w:name w:val="Body Text First Indent 2"/>
    <w:basedOn w:val="6"/>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333333"/>
      <w:u w:val="none"/>
    </w:rPr>
  </w:style>
  <w:style w:type="character" w:styleId="19">
    <w:name w:val="Emphasis"/>
    <w:basedOn w:val="17"/>
    <w:qFormat/>
    <w:uiPriority w:val="0"/>
  </w:style>
  <w:style w:type="character" w:styleId="20">
    <w:name w:val="Hyperlink"/>
    <w:basedOn w:val="17"/>
    <w:qFormat/>
    <w:uiPriority w:val="0"/>
    <w:rPr>
      <w:color w:val="333333"/>
      <w:u w:val="none"/>
    </w:rPr>
  </w:style>
  <w:style w:type="character" w:styleId="21">
    <w:name w:val="annotation reference"/>
    <w:basedOn w:val="17"/>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3">
    <w:name w:val="p0"/>
    <w:basedOn w:val="1"/>
    <w:qFormat/>
    <w:uiPriority w:val="0"/>
    <w:pPr>
      <w:widowControl/>
    </w:pPr>
    <w:rPr>
      <w:rFonts w:ascii="Calibri" w:hAnsi="Calibri" w:eastAsia="宋体" w:cs="Times New Roman"/>
      <w:kern w:val="0"/>
      <w:szCs w:val="21"/>
    </w:rPr>
  </w:style>
  <w:style w:type="character" w:customStyle="1" w:styleId="24">
    <w:name w:val="未处理的提及1"/>
    <w:basedOn w:val="17"/>
    <w:semiHidden/>
    <w:unhideWhenUsed/>
    <w:qFormat/>
    <w:uiPriority w:val="99"/>
    <w:rPr>
      <w:color w:val="605E5C"/>
      <w:shd w:val="clear" w:color="auto" w:fill="E1DFDD"/>
    </w:rPr>
  </w:style>
  <w:style w:type="character" w:customStyle="1" w:styleId="25">
    <w:name w:val="标题 2 字符"/>
    <w:basedOn w:val="17"/>
    <w:link w:val="2"/>
    <w:qFormat/>
    <w:uiPriority w:val="9"/>
    <w:rPr>
      <w:rFonts w:ascii="宋体" w:hAnsi="宋体" w:cs="宋体"/>
      <w:b/>
      <w:bCs/>
      <w:sz w:val="24"/>
      <w:szCs w:val="24"/>
      <w:lang w:val="zh-CN"/>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正文文本缩进 3 字符"/>
    <w:basedOn w:val="17"/>
    <w:link w:val="11"/>
    <w:qFormat/>
    <w:uiPriority w:val="0"/>
    <w:rPr>
      <w:rFonts w:asciiTheme="minorHAnsi" w:hAnsiTheme="minorHAnsi" w:eastAsiaTheme="minorEastAsia" w:cstheme="minorBidi"/>
      <w:kern w:val="2"/>
      <w:sz w:val="16"/>
      <w:szCs w:val="16"/>
    </w:rPr>
  </w:style>
  <w:style w:type="character" w:customStyle="1" w:styleId="28">
    <w:name w:val="标题 3 字符"/>
    <w:basedOn w:val="17"/>
    <w:link w:val="3"/>
    <w:qFormat/>
    <w:uiPriority w:val="9"/>
    <w:rPr>
      <w:rFonts w:ascii="Times New Roman" w:hAnsi="Times New Roman"/>
      <w:b/>
      <w:bCs/>
      <w:kern w:val="2"/>
      <w:sz w:val="32"/>
      <w:szCs w:val="32"/>
    </w:rPr>
  </w:style>
  <w:style w:type="character" w:customStyle="1" w:styleId="29">
    <w:name w:val="正文文本缩进 字符"/>
    <w:basedOn w:val="17"/>
    <w:link w:val="6"/>
    <w:qFormat/>
    <w:uiPriority w:val="0"/>
    <w:rPr>
      <w:rFonts w:asciiTheme="minorHAnsi" w:hAnsiTheme="minorHAnsi" w:eastAsiaTheme="minorEastAsia" w:cstheme="minorBidi"/>
      <w:kern w:val="2"/>
      <w:sz w:val="21"/>
      <w:szCs w:val="22"/>
    </w:rPr>
  </w:style>
  <w:style w:type="character" w:customStyle="1" w:styleId="30">
    <w:name w:val="页眉 字符"/>
    <w:basedOn w:val="17"/>
    <w:link w:val="10"/>
    <w:qFormat/>
    <w:uiPriority w:val="0"/>
    <w:rPr>
      <w:rFonts w:asciiTheme="minorHAnsi" w:hAnsiTheme="minorHAnsi" w:eastAsiaTheme="minorEastAsia" w:cstheme="minorBidi"/>
      <w:kern w:val="2"/>
      <w:sz w:val="18"/>
      <w:szCs w:val="18"/>
    </w:rPr>
  </w:style>
  <w:style w:type="paragraph" w:customStyle="1" w:styleId="3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正文文本 字符"/>
    <w:basedOn w:val="17"/>
    <w:link w:val="5"/>
    <w:qFormat/>
    <w:uiPriority w:val="99"/>
    <w:rPr>
      <w:rFonts w:asciiTheme="minorHAnsi" w:hAnsiTheme="minorHAnsi" w:eastAsiaTheme="minorEastAsia" w:cstheme="minorBidi"/>
      <w:kern w:val="2"/>
      <w:sz w:val="21"/>
      <w:szCs w:val="22"/>
    </w:rPr>
  </w:style>
  <w:style w:type="character" w:customStyle="1" w:styleId="33">
    <w:name w:val="批注文字 字符"/>
    <w:basedOn w:val="17"/>
    <w:link w:val="4"/>
    <w:qFormat/>
    <w:uiPriority w:val="0"/>
    <w:rPr>
      <w:rFonts w:asciiTheme="minorHAnsi" w:hAnsiTheme="minorHAnsi" w:eastAsiaTheme="minorEastAsia" w:cstheme="minorBidi"/>
      <w:kern w:val="2"/>
      <w:sz w:val="21"/>
      <w:szCs w:val="22"/>
    </w:rPr>
  </w:style>
  <w:style w:type="character" w:customStyle="1" w:styleId="34">
    <w:name w:val="批注主题 字符"/>
    <w:basedOn w:val="33"/>
    <w:link w:val="13"/>
    <w:qFormat/>
    <w:uiPriority w:val="0"/>
    <w:rPr>
      <w:rFonts w:asciiTheme="minorHAnsi" w:hAnsiTheme="minorHAnsi" w:eastAsiaTheme="minorEastAsia" w:cstheme="minorBidi"/>
      <w:b/>
      <w:bCs/>
      <w:kern w:val="2"/>
      <w:sz w:val="21"/>
      <w:szCs w:val="22"/>
    </w:rPr>
  </w:style>
  <w:style w:type="character" w:customStyle="1" w:styleId="35">
    <w:name w:val="批注框文本 字符"/>
    <w:basedOn w:val="17"/>
    <w:link w:val="8"/>
    <w:qFormat/>
    <w:uiPriority w:val="0"/>
    <w:rPr>
      <w:rFonts w:asciiTheme="minorHAnsi" w:hAnsiTheme="minorHAnsi" w:eastAsiaTheme="minorEastAsia" w:cstheme="minorBidi"/>
      <w:kern w:val="2"/>
      <w:sz w:val="18"/>
      <w:szCs w:val="18"/>
    </w:rPr>
  </w:style>
  <w:style w:type="character" w:customStyle="1" w:styleId="36">
    <w:name w:val="font2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7436</Words>
  <Characters>8845</Characters>
  <Lines>26</Lines>
  <Paragraphs>7</Paragraphs>
  <TotalTime>0</TotalTime>
  <ScaleCrop>false</ScaleCrop>
  <LinksUpToDate>false</LinksUpToDate>
  <CharactersWithSpaces>8916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2024-03-04T02:09:00Z</dcterms:created>
  <dc:creator>朱伟深</dc:creator>
  <cp:lastModifiedBy>济畅</cp:lastModifiedBy>
  <cp:lastPrinted>2021-06-30T01:36:00Z</cp:lastPrinted>
  <dcterms:modified xsi:type="dcterms:W3CDTF">2024-11-25T02:59:22Z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FB19CE49F3AA4DB192E72A4F87BAA100_13</vt:lpwstr>
  </property>
</Properties>
</file>