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b/>
          <w:bCs/>
          <w:sz w:val="36"/>
        </w:rPr>
      </w:pPr>
      <w:r>
        <w:rPr>
          <w:rFonts w:hint="eastAsia" w:ascii="Times New Roman" w:hAnsi="Times New Roman" w:eastAsia="宋体" w:cs="Times New Roman"/>
          <w:b/>
          <w:bCs/>
          <w:sz w:val="36"/>
        </w:rPr>
        <w:t>第二章 招标项目需求</w:t>
      </w:r>
    </w:p>
    <w:p>
      <w:pPr>
        <w:spacing w:line="360" w:lineRule="auto"/>
        <w:jc w:val="center"/>
        <w:rPr>
          <w:rFonts w:ascii="宋体" w:hAnsi="宋体" w:eastAsia="宋体" w:cs="宋体"/>
          <w:sz w:val="28"/>
          <w:szCs w:val="28"/>
        </w:rPr>
      </w:pPr>
      <w:r>
        <w:rPr>
          <w:rFonts w:hint="eastAsia" w:ascii="Times New Roman" w:hAnsi="Times New Roman" w:eastAsia="宋体" w:cs="Times New Roman"/>
          <w:b/>
          <w:sz w:val="28"/>
          <w:szCs w:val="28"/>
        </w:rPr>
        <w:t>一、项目清单</w:t>
      </w:r>
    </w:p>
    <w:tbl>
      <w:tblPr>
        <w:tblStyle w:val="8"/>
        <w:tblW w:w="8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3654"/>
        <w:gridCol w:w="683"/>
        <w:gridCol w:w="85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pPr>
              <w:jc w:val="center"/>
              <w:rPr>
                <w:rFonts w:ascii="Times New Roman" w:hAnsi="Times New Roman" w:eastAsia="宋体" w:cs="Times New Roman"/>
                <w:b/>
                <w:sz w:val="22"/>
                <w:szCs w:val="24"/>
              </w:rPr>
            </w:pPr>
            <w:r>
              <w:rPr>
                <w:rFonts w:ascii="Times New Roman" w:hAnsi="Times New Roman" w:eastAsia="宋体" w:cs="Times New Roman"/>
                <w:b/>
                <w:sz w:val="22"/>
                <w:szCs w:val="24"/>
              </w:rPr>
              <w:t>序号</w:t>
            </w:r>
          </w:p>
        </w:tc>
        <w:tc>
          <w:tcPr>
            <w:tcW w:w="3654" w:type="dxa"/>
            <w:vAlign w:val="center"/>
          </w:tcPr>
          <w:p>
            <w:pPr>
              <w:jc w:val="center"/>
              <w:rPr>
                <w:rFonts w:ascii="Times New Roman" w:hAnsi="Times New Roman" w:eastAsia="宋体" w:cs="Times New Roman"/>
                <w:b/>
                <w:sz w:val="22"/>
                <w:szCs w:val="24"/>
              </w:rPr>
            </w:pPr>
            <w:r>
              <w:rPr>
                <w:rFonts w:ascii="Times New Roman" w:hAnsi="Times New Roman" w:eastAsia="宋体" w:cs="Times New Roman"/>
                <w:b/>
                <w:sz w:val="22"/>
                <w:szCs w:val="24"/>
              </w:rPr>
              <w:t>服务内容</w:t>
            </w:r>
          </w:p>
        </w:tc>
        <w:tc>
          <w:tcPr>
            <w:tcW w:w="683" w:type="dxa"/>
            <w:vAlign w:val="center"/>
          </w:tcPr>
          <w:p>
            <w:pPr>
              <w:jc w:val="center"/>
              <w:rPr>
                <w:rFonts w:ascii="Times New Roman" w:hAnsi="Times New Roman" w:eastAsia="宋体" w:cs="Times New Roman"/>
                <w:b/>
                <w:sz w:val="22"/>
                <w:szCs w:val="24"/>
              </w:rPr>
            </w:pPr>
            <w:r>
              <w:rPr>
                <w:rFonts w:ascii="Times New Roman" w:hAnsi="Times New Roman" w:eastAsia="宋体" w:cs="Times New Roman"/>
                <w:b/>
                <w:sz w:val="22"/>
                <w:szCs w:val="24"/>
              </w:rPr>
              <w:t>单位</w:t>
            </w:r>
          </w:p>
        </w:tc>
        <w:tc>
          <w:tcPr>
            <w:tcW w:w="857" w:type="dxa"/>
            <w:vAlign w:val="center"/>
          </w:tcPr>
          <w:p>
            <w:pPr>
              <w:jc w:val="center"/>
              <w:rPr>
                <w:rFonts w:ascii="Times New Roman" w:hAnsi="Times New Roman" w:eastAsia="宋体" w:cs="Times New Roman"/>
                <w:b/>
                <w:sz w:val="22"/>
                <w:szCs w:val="24"/>
              </w:rPr>
            </w:pPr>
            <w:r>
              <w:rPr>
                <w:rFonts w:ascii="Times New Roman" w:hAnsi="Times New Roman" w:eastAsia="宋体" w:cs="Times New Roman"/>
                <w:b/>
                <w:sz w:val="22"/>
                <w:szCs w:val="24"/>
              </w:rPr>
              <w:t>数量</w:t>
            </w:r>
          </w:p>
        </w:tc>
        <w:tc>
          <w:tcPr>
            <w:tcW w:w="2182" w:type="dxa"/>
            <w:vAlign w:val="center"/>
          </w:tcPr>
          <w:p>
            <w:pPr>
              <w:jc w:val="center"/>
              <w:rPr>
                <w:rFonts w:ascii="Times New Roman" w:hAnsi="Times New Roman" w:eastAsia="宋体" w:cs="Times New Roman"/>
                <w:b/>
                <w:sz w:val="22"/>
                <w:szCs w:val="24"/>
              </w:rPr>
            </w:pPr>
            <w:r>
              <w:rPr>
                <w:rFonts w:hint="eastAsia" w:ascii="Times New Roman" w:hAnsi="Times New Roman" w:eastAsia="宋体" w:cs="Times New Roman"/>
                <w:b/>
                <w:sz w:val="22"/>
                <w:szCs w:val="24"/>
              </w:rPr>
              <w:t>财政预算金额（</w:t>
            </w:r>
            <w:r>
              <w:rPr>
                <w:rFonts w:ascii="Times New Roman" w:hAnsi="Times New Roman" w:eastAsia="宋体" w:cs="Times New Roman"/>
                <w:b/>
                <w:sz w:val="22"/>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9" w:type="dxa"/>
            <w:vAlign w:val="center"/>
          </w:tcPr>
          <w:p>
            <w:pPr>
              <w:spacing w:line="360" w:lineRule="exact"/>
              <w:jc w:val="center"/>
              <w:rPr>
                <w:rFonts w:ascii="Times New Roman" w:hAnsi="Times New Roman" w:eastAsia="宋体" w:cs="Times New Roman"/>
                <w:bCs/>
                <w:sz w:val="22"/>
                <w:szCs w:val="24"/>
              </w:rPr>
            </w:pPr>
            <w:r>
              <w:rPr>
                <w:rFonts w:ascii="Times New Roman" w:hAnsi="Times New Roman" w:eastAsia="宋体" w:cs="Times New Roman"/>
                <w:bCs/>
                <w:sz w:val="22"/>
                <w:szCs w:val="24"/>
              </w:rPr>
              <w:t>1</w:t>
            </w:r>
          </w:p>
        </w:tc>
        <w:tc>
          <w:tcPr>
            <w:tcW w:w="3654" w:type="dxa"/>
            <w:vAlign w:val="center"/>
          </w:tcPr>
          <w:p>
            <w:pPr>
              <w:spacing w:line="360" w:lineRule="exact"/>
              <w:jc w:val="center"/>
              <w:rPr>
                <w:rFonts w:ascii="Times New Roman" w:hAnsi="Times New Roman" w:eastAsia="宋体" w:cs="Times New Roman"/>
                <w:sz w:val="22"/>
                <w:szCs w:val="24"/>
              </w:rPr>
            </w:pPr>
            <w:r>
              <w:rPr>
                <w:rFonts w:hint="eastAsia" w:ascii="Times New Roman" w:hAnsi="Times New Roman" w:eastAsia="宋体" w:cs="Times New Roman"/>
                <w:sz w:val="22"/>
                <w:szCs w:val="24"/>
              </w:rPr>
              <w:t>深圳明德实验学校（集团）大鹏校区一次性开荒保洁服务项目 </w:t>
            </w:r>
          </w:p>
        </w:tc>
        <w:tc>
          <w:tcPr>
            <w:tcW w:w="683" w:type="dxa"/>
            <w:vAlign w:val="center"/>
          </w:tcPr>
          <w:p>
            <w:pPr>
              <w:spacing w:line="360" w:lineRule="exact"/>
              <w:jc w:val="center"/>
              <w:rPr>
                <w:rFonts w:ascii="Times New Roman" w:hAnsi="Times New Roman" w:eastAsia="宋体" w:cs="Times New Roman"/>
                <w:sz w:val="22"/>
                <w:szCs w:val="24"/>
              </w:rPr>
            </w:pPr>
            <w:r>
              <w:rPr>
                <w:rFonts w:ascii="Times New Roman" w:hAnsi="Times New Roman" w:eastAsia="宋体" w:cs="Times New Roman"/>
                <w:bCs/>
                <w:sz w:val="22"/>
                <w:szCs w:val="24"/>
              </w:rPr>
              <w:t>1</w:t>
            </w:r>
          </w:p>
        </w:tc>
        <w:tc>
          <w:tcPr>
            <w:tcW w:w="857" w:type="dxa"/>
            <w:vAlign w:val="center"/>
          </w:tcPr>
          <w:p>
            <w:pPr>
              <w:spacing w:line="360" w:lineRule="exact"/>
              <w:jc w:val="center"/>
              <w:rPr>
                <w:rFonts w:ascii="Times New Roman" w:hAnsi="Times New Roman" w:eastAsia="宋体" w:cs="Times New Roman"/>
                <w:sz w:val="22"/>
                <w:szCs w:val="24"/>
              </w:rPr>
            </w:pPr>
            <w:r>
              <w:rPr>
                <w:rFonts w:ascii="Times New Roman" w:hAnsi="Times New Roman" w:eastAsia="宋体" w:cs="Times New Roman"/>
                <w:bCs/>
                <w:sz w:val="22"/>
                <w:szCs w:val="24"/>
              </w:rPr>
              <w:t>项</w:t>
            </w:r>
          </w:p>
        </w:tc>
        <w:tc>
          <w:tcPr>
            <w:tcW w:w="2182" w:type="dxa"/>
            <w:vAlign w:val="center"/>
          </w:tcPr>
          <w:p>
            <w:pPr>
              <w:spacing w:line="360" w:lineRule="exact"/>
              <w:jc w:val="center"/>
              <w:rPr>
                <w:rFonts w:ascii="Times New Roman" w:hAnsi="Times New Roman" w:eastAsia="宋体" w:cs="Times New Roman"/>
                <w:sz w:val="22"/>
                <w:szCs w:val="24"/>
              </w:rPr>
            </w:pPr>
            <w:r>
              <w:rPr>
                <w:rFonts w:ascii="Times New Roman" w:hAnsi="Times New Roman" w:eastAsia="宋体" w:cs="Times New Roman"/>
                <w:sz w:val="22"/>
              </w:rPr>
              <w:t>90</w:t>
            </w:r>
            <w:r>
              <w:rPr>
                <w:rFonts w:hint="eastAsia" w:ascii="Times New Roman" w:hAnsi="Times New Roman" w:eastAsia="宋体" w:cs="Times New Roman"/>
                <w:sz w:val="22"/>
              </w:rPr>
              <w:t>,000.00</w:t>
            </w:r>
          </w:p>
        </w:tc>
      </w:tr>
    </w:tbl>
    <w:p>
      <w:pPr>
        <w:spacing w:line="360" w:lineRule="exact"/>
        <w:rPr>
          <w:rFonts w:ascii="Times New Roman" w:hAnsi="Times New Roman" w:eastAsia="宋体" w:cs="Times New Roman"/>
          <w:sz w:val="22"/>
          <w:szCs w:val="24"/>
        </w:rPr>
      </w:pPr>
    </w:p>
    <w:p>
      <w:pPr>
        <w:tabs>
          <w:tab w:val="left" w:pos="420"/>
        </w:tabs>
        <w:spacing w:line="360" w:lineRule="auto"/>
        <w:rPr>
          <w:rFonts w:ascii="宋体" w:hAnsi="宋体" w:eastAsia="宋体" w:cs="宋体"/>
          <w:sz w:val="22"/>
          <w:szCs w:val="24"/>
        </w:rPr>
      </w:pPr>
      <w:r>
        <w:rPr>
          <w:rFonts w:hint="eastAsia" w:ascii="宋体" w:hAnsi="宋体" w:eastAsia="宋体" w:cs="宋体"/>
          <w:sz w:val="22"/>
          <w:szCs w:val="24"/>
        </w:rPr>
        <w:t>注：</w:t>
      </w:r>
      <w:r>
        <w:rPr>
          <w:rFonts w:hint="eastAsia" w:ascii="宋体" w:hAnsi="宋体" w:eastAsia="宋体" w:cs="宋体"/>
          <w:b/>
          <w:bCs/>
          <w:sz w:val="22"/>
        </w:rPr>
        <w:t>超出财政预算限额的投标报价将不被接受。</w:t>
      </w:r>
    </w:p>
    <w:p>
      <w:pPr>
        <w:spacing w:after="120"/>
        <w:ind w:left="420" w:leftChars="200" w:firstLine="420" w:firstLineChars="200"/>
        <w:rPr>
          <w:rFonts w:ascii="Times New Roman" w:hAnsi="Times New Roman" w:eastAsia="宋体" w:cs="Times New Roman"/>
          <w:szCs w:val="24"/>
        </w:rPr>
      </w:pPr>
    </w:p>
    <w:p>
      <w:pPr>
        <w:spacing w:line="360" w:lineRule="auto"/>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二、投标人须知</w:t>
      </w:r>
    </w:p>
    <w:tbl>
      <w:tblPr>
        <w:tblStyle w:val="8"/>
        <w:tblpPr w:leftFromText="180" w:rightFromText="180" w:vertAnchor="text" w:horzAnchor="page" w:tblpXSpec="center" w:tblpY="309"/>
        <w:tblOverlap w:val="never"/>
        <w:tblW w:w="10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8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09" w:type="dxa"/>
            <w:vAlign w:val="center"/>
          </w:tcPr>
          <w:p>
            <w:pPr>
              <w:jc w:val="center"/>
              <w:rPr>
                <w:rFonts w:ascii="Times New Roman" w:hAnsi="Times New Roman" w:eastAsia="宋体" w:cs="Times New Roman"/>
                <w:b/>
                <w:sz w:val="22"/>
                <w:szCs w:val="24"/>
              </w:rPr>
            </w:pPr>
            <w:r>
              <w:rPr>
                <w:rFonts w:hint="eastAsia" w:ascii="Times New Roman" w:hAnsi="Times New Roman" w:eastAsia="宋体" w:cs="Times New Roman"/>
                <w:b/>
                <w:sz w:val="22"/>
                <w:szCs w:val="24"/>
              </w:rPr>
              <w:t>序号</w:t>
            </w:r>
          </w:p>
        </w:tc>
        <w:tc>
          <w:tcPr>
            <w:tcW w:w="1134" w:type="dxa"/>
            <w:vAlign w:val="center"/>
          </w:tcPr>
          <w:p>
            <w:pPr>
              <w:jc w:val="center"/>
              <w:rPr>
                <w:rFonts w:ascii="Times New Roman" w:hAnsi="Times New Roman" w:eastAsia="宋体" w:cs="Times New Roman"/>
                <w:b/>
                <w:sz w:val="22"/>
                <w:szCs w:val="24"/>
              </w:rPr>
            </w:pPr>
            <w:r>
              <w:rPr>
                <w:rFonts w:hint="eastAsia" w:ascii="Times New Roman" w:hAnsi="Times New Roman" w:eastAsia="宋体" w:cs="Times New Roman"/>
                <w:b/>
                <w:sz w:val="22"/>
                <w:szCs w:val="24"/>
              </w:rPr>
              <w:t>内   容</w:t>
            </w:r>
          </w:p>
        </w:tc>
        <w:tc>
          <w:tcPr>
            <w:tcW w:w="8312" w:type="dxa"/>
            <w:vAlign w:val="center"/>
          </w:tcPr>
          <w:p>
            <w:pPr>
              <w:jc w:val="center"/>
              <w:rPr>
                <w:rFonts w:ascii="Times New Roman" w:hAnsi="Times New Roman" w:eastAsia="宋体" w:cs="Times New Roman"/>
                <w:b/>
                <w:sz w:val="22"/>
                <w:szCs w:val="24"/>
              </w:rPr>
            </w:pPr>
            <w:r>
              <w:rPr>
                <w:rFonts w:hint="eastAsia" w:ascii="Times New Roman" w:hAnsi="Times New Roman" w:eastAsia="宋体" w:cs="Times New Roman"/>
                <w:b/>
                <w:sz w:val="22"/>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9" w:type="dxa"/>
            <w:vAlign w:val="center"/>
          </w:tcPr>
          <w:p>
            <w:pPr>
              <w:spacing w:line="360" w:lineRule="auto"/>
              <w:jc w:val="center"/>
              <w:rPr>
                <w:rFonts w:ascii="宋体" w:hAnsi="宋体" w:eastAsia="宋体" w:cs="宋体"/>
                <w:sz w:val="22"/>
              </w:rPr>
            </w:pPr>
            <w:r>
              <w:rPr>
                <w:rFonts w:hint="eastAsia" w:ascii="宋体" w:hAnsi="宋体" w:eastAsia="宋体" w:cs="宋体"/>
                <w:sz w:val="22"/>
              </w:rPr>
              <w:t>1</w:t>
            </w:r>
          </w:p>
        </w:tc>
        <w:tc>
          <w:tcPr>
            <w:tcW w:w="1134" w:type="dxa"/>
            <w:vAlign w:val="center"/>
          </w:tcPr>
          <w:p>
            <w:pPr>
              <w:spacing w:line="360" w:lineRule="auto"/>
              <w:jc w:val="center"/>
              <w:rPr>
                <w:rFonts w:ascii="宋体" w:hAnsi="宋体" w:eastAsia="宋体" w:cs="宋体"/>
                <w:sz w:val="22"/>
              </w:rPr>
            </w:pPr>
            <w:r>
              <w:rPr>
                <w:rFonts w:hint="eastAsia" w:ascii="宋体" w:hAnsi="宋体" w:eastAsia="宋体" w:cs="宋体"/>
                <w:sz w:val="22"/>
              </w:rPr>
              <w:t>工程名称</w:t>
            </w:r>
          </w:p>
        </w:tc>
        <w:tc>
          <w:tcPr>
            <w:tcW w:w="8312" w:type="dxa"/>
            <w:vAlign w:val="center"/>
          </w:tcPr>
          <w:p>
            <w:pPr>
              <w:spacing w:line="360" w:lineRule="auto"/>
              <w:rPr>
                <w:rFonts w:ascii="宋体" w:hAnsi="宋体" w:cs="宋体"/>
                <w:bCs/>
                <w:sz w:val="24"/>
              </w:rPr>
            </w:pPr>
            <w:r>
              <w:rPr>
                <w:rFonts w:hint="eastAsia" w:ascii="宋体" w:hAnsi="宋体" w:eastAsia="宋体" w:cs="宋体"/>
                <w:sz w:val="22"/>
              </w:rPr>
              <w:t>深圳明德实验学校（集团）大鹏校区一次性开荒保洁服务项目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jc w:val="center"/>
        </w:trPr>
        <w:tc>
          <w:tcPr>
            <w:tcW w:w="709" w:type="dxa"/>
            <w:vAlign w:val="center"/>
          </w:tcPr>
          <w:p>
            <w:pPr>
              <w:spacing w:line="360" w:lineRule="auto"/>
              <w:jc w:val="center"/>
              <w:rPr>
                <w:rFonts w:ascii="宋体" w:hAnsi="宋体" w:eastAsia="宋体" w:cs="宋体"/>
                <w:sz w:val="22"/>
              </w:rPr>
            </w:pPr>
            <w:r>
              <w:rPr>
                <w:rFonts w:hint="eastAsia" w:ascii="宋体" w:hAnsi="宋体" w:eastAsia="宋体" w:cs="宋体"/>
                <w:sz w:val="22"/>
              </w:rPr>
              <w:t>2</w:t>
            </w:r>
          </w:p>
        </w:tc>
        <w:tc>
          <w:tcPr>
            <w:tcW w:w="1134" w:type="dxa"/>
            <w:vAlign w:val="center"/>
          </w:tcPr>
          <w:p>
            <w:pPr>
              <w:spacing w:line="360" w:lineRule="auto"/>
              <w:jc w:val="center"/>
              <w:rPr>
                <w:rFonts w:ascii="宋体" w:hAnsi="宋体" w:eastAsia="宋体" w:cs="宋体"/>
                <w:sz w:val="22"/>
              </w:rPr>
            </w:pPr>
            <w:r>
              <w:rPr>
                <w:rFonts w:hint="eastAsia" w:ascii="宋体" w:hAnsi="宋体" w:eastAsia="宋体" w:cs="宋体"/>
                <w:sz w:val="22"/>
              </w:rPr>
              <w:t>工程地点</w:t>
            </w:r>
          </w:p>
        </w:tc>
        <w:tc>
          <w:tcPr>
            <w:tcW w:w="8312" w:type="dxa"/>
            <w:vAlign w:val="center"/>
          </w:tcPr>
          <w:p>
            <w:pPr>
              <w:spacing w:line="360" w:lineRule="auto"/>
              <w:rPr>
                <w:rFonts w:ascii="宋体" w:hAnsi="宋体" w:cs="宋体"/>
                <w:sz w:val="24"/>
              </w:rPr>
            </w:pPr>
            <w:r>
              <w:rPr>
                <w:rFonts w:hint="eastAsia" w:ascii="宋体" w:hAnsi="宋体" w:eastAsia="宋体" w:cs="宋体"/>
                <w:sz w:val="22"/>
              </w:rPr>
              <w:t>龙岗区迎宾南路与大鹏向阳路交叉口东北</w:t>
            </w:r>
            <w:r>
              <w:rPr>
                <w:rFonts w:ascii="宋体" w:hAnsi="宋体" w:eastAsia="宋体" w:cs="宋体"/>
                <w:sz w:val="22"/>
              </w:rPr>
              <w:t>100米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09" w:type="dxa"/>
            <w:vAlign w:val="center"/>
          </w:tcPr>
          <w:p>
            <w:pPr>
              <w:spacing w:line="360" w:lineRule="auto"/>
              <w:jc w:val="center"/>
              <w:rPr>
                <w:rFonts w:ascii="宋体" w:hAnsi="宋体" w:eastAsia="宋体" w:cs="宋体"/>
                <w:sz w:val="22"/>
              </w:rPr>
            </w:pPr>
            <w:r>
              <w:rPr>
                <w:rFonts w:hint="eastAsia" w:ascii="宋体" w:hAnsi="宋体" w:eastAsia="宋体" w:cs="宋体"/>
                <w:sz w:val="22"/>
              </w:rPr>
              <w:t>3</w:t>
            </w:r>
          </w:p>
        </w:tc>
        <w:tc>
          <w:tcPr>
            <w:tcW w:w="1134" w:type="dxa"/>
            <w:vAlign w:val="center"/>
          </w:tcPr>
          <w:p>
            <w:pPr>
              <w:spacing w:line="360" w:lineRule="auto"/>
              <w:jc w:val="center"/>
              <w:rPr>
                <w:rFonts w:ascii="宋体" w:hAnsi="宋体" w:eastAsia="宋体" w:cs="宋体"/>
                <w:sz w:val="22"/>
              </w:rPr>
            </w:pPr>
            <w:r>
              <w:rPr>
                <w:rFonts w:hint="eastAsia" w:ascii="宋体" w:hAnsi="宋体" w:eastAsia="宋体" w:cs="宋体"/>
                <w:sz w:val="22"/>
              </w:rPr>
              <w:t>质量要求</w:t>
            </w:r>
          </w:p>
        </w:tc>
        <w:tc>
          <w:tcPr>
            <w:tcW w:w="8312" w:type="dxa"/>
            <w:vAlign w:val="center"/>
          </w:tcPr>
          <w:p>
            <w:pPr>
              <w:spacing w:line="360" w:lineRule="auto"/>
              <w:rPr>
                <w:rFonts w:ascii="宋体" w:hAnsi="宋体" w:eastAsia="宋体" w:cs="宋体"/>
                <w:sz w:val="22"/>
              </w:rPr>
            </w:pPr>
            <w:r>
              <w:rPr>
                <w:rFonts w:hint="eastAsia" w:ascii="宋体" w:hAnsi="宋体" w:eastAsia="宋体" w:cs="宋体"/>
                <w:sz w:val="22"/>
              </w:rPr>
              <w:t>1</w:t>
            </w:r>
            <w:r>
              <w:rPr>
                <w:rFonts w:ascii="宋体" w:hAnsi="宋体" w:eastAsia="宋体" w:cs="宋体"/>
                <w:sz w:val="22"/>
              </w:rPr>
              <w:t>.</w:t>
            </w:r>
            <w:r>
              <w:rPr>
                <w:rFonts w:hint="eastAsia" w:ascii="宋体" w:hAnsi="宋体" w:eastAsia="宋体" w:cs="宋体"/>
                <w:sz w:val="22"/>
              </w:rPr>
              <w:t>质量标准按国家及相关行业现有质量验收规范并达到合格标准；</w:t>
            </w:r>
          </w:p>
          <w:p>
            <w:pPr>
              <w:spacing w:line="360" w:lineRule="auto"/>
              <w:rPr>
                <w:rFonts w:ascii="宋体" w:hAnsi="宋体" w:eastAsia="宋体" w:cs="宋体"/>
                <w:sz w:val="22"/>
              </w:rPr>
            </w:pPr>
            <w:r>
              <w:rPr>
                <w:rFonts w:hint="eastAsia" w:ascii="宋体" w:hAnsi="宋体" w:eastAsia="宋体" w:cs="宋体"/>
                <w:sz w:val="22"/>
              </w:rPr>
              <w:t>2</w:t>
            </w:r>
            <w:r>
              <w:rPr>
                <w:rFonts w:ascii="宋体" w:hAnsi="宋体" w:eastAsia="宋体" w:cs="宋体"/>
                <w:sz w:val="22"/>
              </w:rPr>
              <w:t>.</w:t>
            </w:r>
            <w:r>
              <w:rPr>
                <w:rFonts w:hint="eastAsia" w:ascii="宋体" w:hAnsi="宋体" w:eastAsia="宋体" w:cs="宋体"/>
                <w:sz w:val="22"/>
              </w:rPr>
              <w:t>开荒清洁</w:t>
            </w:r>
            <w:r>
              <w:rPr>
                <w:rFonts w:ascii="宋体" w:hAnsi="宋体" w:eastAsia="宋体" w:cs="宋体"/>
                <w:sz w:val="22"/>
              </w:rPr>
              <w:t>质量</w:t>
            </w:r>
            <w:r>
              <w:rPr>
                <w:rFonts w:hint="eastAsia" w:ascii="宋体" w:hAnsi="宋体" w:eastAsia="宋体" w:cs="宋体"/>
                <w:sz w:val="22"/>
              </w:rPr>
              <w:t>标准</w:t>
            </w:r>
            <w:r>
              <w:rPr>
                <w:rFonts w:ascii="宋体" w:hAnsi="宋体" w:eastAsia="宋体" w:cs="宋体"/>
                <w:sz w:val="22"/>
              </w:rPr>
              <w:t>详见附件</w:t>
            </w:r>
            <w:r>
              <w:rPr>
                <w:rFonts w:hint="eastAsia" w:ascii="宋体" w:hAnsi="宋体" w:eastAsia="宋体" w:cs="宋体"/>
                <w:sz w:val="22"/>
              </w:rPr>
              <w:t>,</w:t>
            </w:r>
            <w:r>
              <w:rPr>
                <w:rFonts w:ascii="宋体" w:hAnsi="宋体" w:eastAsia="宋体" w:cs="宋体"/>
                <w:sz w:val="22"/>
              </w:rPr>
              <w:t>通过</w:t>
            </w:r>
            <w:r>
              <w:rPr>
                <w:rFonts w:hint="eastAsia" w:ascii="宋体" w:hAnsi="宋体" w:eastAsia="宋体" w:cs="宋体"/>
                <w:sz w:val="22"/>
              </w:rPr>
              <w:t>发包方</w:t>
            </w:r>
            <w:r>
              <w:rPr>
                <w:rFonts w:ascii="宋体" w:hAnsi="宋体" w:eastAsia="宋体" w:cs="宋体"/>
                <w:sz w:val="22"/>
              </w:rPr>
              <w:t>验收</w:t>
            </w:r>
            <w:r>
              <w:rPr>
                <w:rFonts w:hint="eastAsia" w:ascii="宋体" w:hAnsi="宋体" w:eastAsia="宋体" w:cs="宋体"/>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709" w:type="dxa"/>
            <w:vAlign w:val="center"/>
          </w:tcPr>
          <w:p>
            <w:pPr>
              <w:jc w:val="center"/>
              <w:rPr>
                <w:rFonts w:ascii="宋体" w:hAnsi="宋体" w:cs="宋体"/>
                <w:sz w:val="24"/>
              </w:rPr>
            </w:pPr>
            <w:r>
              <w:rPr>
                <w:rFonts w:hint="eastAsia" w:ascii="宋体" w:hAnsi="宋体" w:cs="宋体"/>
                <w:sz w:val="24"/>
              </w:rPr>
              <w:t>4</w:t>
            </w:r>
          </w:p>
        </w:tc>
        <w:tc>
          <w:tcPr>
            <w:tcW w:w="1134" w:type="dxa"/>
            <w:vAlign w:val="center"/>
          </w:tcPr>
          <w:p>
            <w:pPr>
              <w:spacing w:line="360" w:lineRule="auto"/>
              <w:jc w:val="center"/>
              <w:rPr>
                <w:rFonts w:ascii="宋体" w:hAnsi="宋体" w:eastAsia="宋体" w:cs="宋体"/>
                <w:sz w:val="22"/>
              </w:rPr>
            </w:pPr>
            <w:r>
              <w:rPr>
                <w:rFonts w:hint="eastAsia" w:ascii="宋体" w:hAnsi="宋体" w:eastAsia="宋体" w:cs="宋体"/>
                <w:sz w:val="22"/>
              </w:rPr>
              <w:t>承包范围</w:t>
            </w:r>
          </w:p>
        </w:tc>
        <w:tc>
          <w:tcPr>
            <w:tcW w:w="8312" w:type="dxa"/>
            <w:vAlign w:val="center"/>
          </w:tcPr>
          <w:p>
            <w:pPr>
              <w:spacing w:line="360" w:lineRule="auto"/>
              <w:rPr>
                <w:rFonts w:ascii="宋体" w:hAnsi="宋体" w:eastAsia="宋体" w:cs="宋体"/>
                <w:sz w:val="22"/>
              </w:rPr>
            </w:pPr>
            <w:r>
              <w:rPr>
                <w:rFonts w:hint="eastAsia" w:ascii="宋体" w:hAnsi="宋体" w:eastAsia="宋体" w:cs="宋体"/>
                <w:sz w:val="22"/>
              </w:rPr>
              <w:t>1.工程范围：</w:t>
            </w:r>
            <w:r>
              <w:rPr>
                <w:rFonts w:hint="eastAsia" w:ascii="Times New Roman" w:hAnsi="Times New Roman" w:eastAsia="宋体" w:cs="Times New Roman"/>
                <w:sz w:val="22"/>
                <w:szCs w:val="24"/>
              </w:rPr>
              <w:t>深圳明德实验学校（集团）</w:t>
            </w:r>
            <w:r>
              <w:rPr>
                <w:rFonts w:hint="eastAsia" w:ascii="宋体" w:hAnsi="宋体" w:eastAsia="宋体" w:cs="宋体"/>
                <w:sz w:val="22"/>
              </w:rPr>
              <w:t>大鹏校区男生宿舍楼4、5、6、7、8楼、女生宿舍楼4、5、6、7、8楼、高中部教学楼5、6楼</w:t>
            </w:r>
            <w:r>
              <w:rPr>
                <w:rFonts w:ascii="宋体" w:hAnsi="宋体" w:eastAsia="宋体" w:cs="宋体"/>
                <w:sz w:val="22"/>
              </w:rPr>
              <w:t>、</w:t>
            </w:r>
            <w:r>
              <w:rPr>
                <w:rFonts w:hint="eastAsia" w:ascii="宋体" w:hAnsi="宋体" w:eastAsia="宋体" w:cs="宋体"/>
                <w:sz w:val="22"/>
              </w:rPr>
              <w:t>篮球场、食堂、及其他公共区域保洁（以甲方安排为准）</w:t>
            </w:r>
            <w:r>
              <w:rPr>
                <w:rFonts w:ascii="宋体" w:hAnsi="宋体" w:eastAsia="宋体" w:cs="宋体"/>
                <w:sz w:val="22"/>
              </w:rPr>
              <w:t>。</w:t>
            </w:r>
          </w:p>
          <w:p>
            <w:pPr>
              <w:spacing w:line="360" w:lineRule="auto"/>
              <w:rPr>
                <w:rFonts w:ascii="宋体" w:hAnsi="宋体" w:eastAsia="宋体" w:cs="宋体"/>
                <w:sz w:val="22"/>
              </w:rPr>
            </w:pPr>
            <w:r>
              <w:rPr>
                <w:rFonts w:hint="eastAsia" w:ascii="宋体" w:hAnsi="宋体" w:eastAsia="宋体" w:cs="宋体"/>
                <w:sz w:val="22"/>
              </w:rPr>
              <w:t>2.</w:t>
            </w:r>
            <w:r>
              <w:rPr>
                <w:rFonts w:ascii="宋体" w:hAnsi="宋体" w:eastAsia="宋体" w:cs="宋体"/>
                <w:sz w:val="22"/>
              </w:rPr>
              <w:t>开荒总建筑面积约15,000.00㎡</w:t>
            </w:r>
            <w:r>
              <w:rPr>
                <w:rFonts w:hint="eastAsia" w:ascii="宋体" w:hAnsi="宋体" w:eastAsia="宋体" w:cs="宋体"/>
                <w:sz w:val="22"/>
              </w:rPr>
              <w:t>。</w:t>
            </w:r>
          </w:p>
          <w:p>
            <w:pPr>
              <w:spacing w:line="360" w:lineRule="auto"/>
              <w:rPr>
                <w:rFonts w:ascii="宋体" w:hAnsi="宋体" w:eastAsia="宋体" w:cs="宋体"/>
                <w:sz w:val="22"/>
              </w:rPr>
            </w:pPr>
            <w:r>
              <w:rPr>
                <w:rFonts w:hint="eastAsia" w:ascii="宋体" w:hAnsi="宋体" w:eastAsia="宋体" w:cs="宋体"/>
                <w:sz w:val="22"/>
              </w:rPr>
              <w:t>3.开荒项目</w:t>
            </w:r>
          </w:p>
          <w:tbl>
            <w:tblPr>
              <w:tblStyle w:val="8"/>
              <w:tblW w:w="8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7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32" w:type="dxa"/>
                  <w:vAlign w:val="center"/>
                </w:tcPr>
                <w:p>
                  <w:pPr>
                    <w:jc w:val="center"/>
                    <w:rPr>
                      <w:rFonts w:ascii="宋体"/>
                      <w:b/>
                      <w:szCs w:val="21"/>
                    </w:rPr>
                  </w:pPr>
                  <w:r>
                    <w:rPr>
                      <w:rFonts w:hint="eastAsia" w:ascii="宋体" w:hAnsi="宋体"/>
                      <w:b/>
                      <w:szCs w:val="21"/>
                    </w:rPr>
                    <w:t>区域</w:t>
                  </w:r>
                </w:p>
              </w:tc>
              <w:tc>
                <w:tcPr>
                  <w:tcW w:w="7000" w:type="dxa"/>
                  <w:vAlign w:val="center"/>
                </w:tcPr>
                <w:p>
                  <w:pPr>
                    <w:jc w:val="center"/>
                    <w:rPr>
                      <w:rFonts w:ascii="宋体"/>
                      <w:b/>
                      <w:szCs w:val="21"/>
                    </w:rPr>
                  </w:pPr>
                  <w:r>
                    <w:rPr>
                      <w:rFonts w:hint="eastAsia" w:ascii="宋体" w:hAnsi="宋体"/>
                      <w:b/>
                      <w:szCs w:val="21"/>
                    </w:rPr>
                    <w:t>清洁项目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32" w:type="dxa"/>
                  <w:vAlign w:val="center"/>
                </w:tcPr>
                <w:p>
                  <w:pPr>
                    <w:spacing w:line="360" w:lineRule="auto"/>
                    <w:rPr>
                      <w:rFonts w:ascii="宋体" w:hAnsi="宋体" w:eastAsia="宋体" w:cs="宋体"/>
                      <w:sz w:val="22"/>
                    </w:rPr>
                  </w:pPr>
                  <w:r>
                    <w:rPr>
                      <w:rFonts w:hint="eastAsia" w:ascii="宋体" w:hAnsi="宋体" w:eastAsia="宋体" w:cs="宋体"/>
                      <w:sz w:val="22"/>
                    </w:rPr>
                    <w:t>专有部位</w:t>
                  </w:r>
                </w:p>
              </w:tc>
              <w:tc>
                <w:tcPr>
                  <w:tcW w:w="7000" w:type="dxa"/>
                  <w:vAlign w:val="center"/>
                </w:tcPr>
                <w:p>
                  <w:pPr>
                    <w:spacing w:line="360" w:lineRule="auto"/>
                    <w:rPr>
                      <w:rFonts w:ascii="宋体" w:hAnsi="宋体" w:eastAsia="宋体" w:cs="宋体"/>
                      <w:sz w:val="22"/>
                    </w:rPr>
                  </w:pPr>
                  <w:r>
                    <w:rPr>
                      <w:rFonts w:hint="eastAsia" w:ascii="宋体" w:hAnsi="宋体" w:eastAsia="宋体" w:cs="宋体"/>
                      <w:sz w:val="22"/>
                    </w:rPr>
                    <w:t>阳台、地面、墙面、窗户、门</w:t>
                  </w:r>
                  <w:r>
                    <w:rPr>
                      <w:rFonts w:ascii="宋体" w:hAnsi="宋体" w:eastAsia="宋体" w:cs="宋体"/>
                      <w:sz w:val="22"/>
                    </w:rPr>
                    <w:t>、</w:t>
                  </w:r>
                  <w:r>
                    <w:rPr>
                      <w:rFonts w:hint="eastAsia" w:ascii="宋体" w:hAnsi="宋体" w:eastAsia="宋体" w:cs="宋体"/>
                      <w:sz w:val="22"/>
                    </w:rPr>
                    <w:t>天花、配套设施等。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132" w:type="dxa"/>
                  <w:vAlign w:val="center"/>
                </w:tcPr>
                <w:p>
                  <w:pPr>
                    <w:spacing w:line="360" w:lineRule="auto"/>
                    <w:rPr>
                      <w:rFonts w:ascii="宋体" w:hAnsi="宋体" w:eastAsia="宋体" w:cs="宋体"/>
                      <w:sz w:val="22"/>
                    </w:rPr>
                  </w:pPr>
                  <w:r>
                    <w:rPr>
                      <w:rFonts w:hint="eastAsia" w:ascii="宋体" w:hAnsi="宋体" w:eastAsia="宋体" w:cs="宋体"/>
                      <w:sz w:val="22"/>
                    </w:rPr>
                    <w:t>公共区域</w:t>
                  </w:r>
                </w:p>
              </w:tc>
              <w:tc>
                <w:tcPr>
                  <w:tcW w:w="7000" w:type="dxa"/>
                  <w:vAlign w:val="center"/>
                </w:tcPr>
                <w:p>
                  <w:pPr>
                    <w:spacing w:line="360" w:lineRule="auto"/>
                    <w:rPr>
                      <w:rFonts w:ascii="宋体" w:hAnsi="宋体" w:eastAsia="宋体" w:cs="宋体"/>
                      <w:sz w:val="22"/>
                    </w:rPr>
                  </w:pPr>
                  <w:r>
                    <w:rPr>
                      <w:rFonts w:hint="eastAsia" w:ascii="宋体" w:hAnsi="宋体" w:eastAsia="宋体" w:cs="宋体"/>
                      <w:sz w:val="22"/>
                    </w:rPr>
                    <w:t>天台天面、楼层通道、电梯厅、轿厢、地面、墙面、楼梯、护栏、钢结构连廊，配套设施等。</w:t>
                  </w:r>
                </w:p>
              </w:tc>
            </w:tr>
          </w:tbl>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709" w:type="dxa"/>
            <w:vAlign w:val="center"/>
          </w:tcPr>
          <w:p>
            <w:pPr>
              <w:spacing w:line="360" w:lineRule="auto"/>
              <w:jc w:val="center"/>
              <w:rPr>
                <w:rFonts w:ascii="宋体" w:hAnsi="宋体" w:cs="宋体"/>
                <w:sz w:val="24"/>
              </w:rPr>
            </w:pPr>
            <w:r>
              <w:rPr>
                <w:rFonts w:ascii="宋体" w:hAnsi="宋体" w:cs="宋体"/>
                <w:sz w:val="24"/>
              </w:rPr>
              <w:t>5</w:t>
            </w:r>
          </w:p>
        </w:tc>
        <w:tc>
          <w:tcPr>
            <w:tcW w:w="1134" w:type="dxa"/>
            <w:vAlign w:val="center"/>
          </w:tcPr>
          <w:p>
            <w:pPr>
              <w:spacing w:line="360" w:lineRule="auto"/>
              <w:jc w:val="center"/>
              <w:rPr>
                <w:rFonts w:ascii="宋体" w:hAnsi="宋体" w:eastAsia="宋体" w:cs="宋体"/>
                <w:sz w:val="22"/>
              </w:rPr>
            </w:pPr>
            <w:r>
              <w:rPr>
                <w:rFonts w:hint="eastAsia" w:ascii="宋体" w:hAnsi="宋体" w:eastAsia="宋体" w:cs="宋体"/>
                <w:sz w:val="22"/>
              </w:rPr>
              <w:t>要求工期</w:t>
            </w:r>
          </w:p>
        </w:tc>
        <w:tc>
          <w:tcPr>
            <w:tcW w:w="8312" w:type="dxa"/>
            <w:vAlign w:val="center"/>
          </w:tcPr>
          <w:p>
            <w:pPr>
              <w:spacing w:line="360" w:lineRule="auto"/>
              <w:rPr>
                <w:rFonts w:ascii="宋体" w:hAnsi="宋体" w:eastAsia="宋体" w:cs="宋体"/>
                <w:sz w:val="22"/>
              </w:rPr>
            </w:pPr>
            <w:r>
              <w:rPr>
                <w:rFonts w:hint="eastAsia" w:ascii="宋体" w:hAnsi="宋体" w:eastAsia="宋体" w:cs="宋体"/>
                <w:sz w:val="22"/>
              </w:rPr>
              <w:t>具体开工日期以甲方书面通知为准，开荒清洁绝对工期</w:t>
            </w:r>
            <w:r>
              <w:rPr>
                <w:rFonts w:ascii="宋体" w:hAnsi="宋体" w:eastAsia="宋体" w:cs="宋体"/>
                <w:sz w:val="22"/>
              </w:rPr>
              <w:t>6</w:t>
            </w:r>
            <w:r>
              <w:rPr>
                <w:rFonts w:hint="eastAsia" w:ascii="宋体" w:hAnsi="宋体" w:eastAsia="宋体" w:cs="宋体"/>
                <w:sz w:val="22"/>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9" w:type="dxa"/>
            <w:vAlign w:val="center"/>
          </w:tcPr>
          <w:p>
            <w:pPr>
              <w:spacing w:line="360" w:lineRule="auto"/>
              <w:jc w:val="center"/>
              <w:rPr>
                <w:rFonts w:ascii="宋体" w:hAnsi="宋体" w:cs="宋体"/>
                <w:sz w:val="24"/>
              </w:rPr>
            </w:pPr>
            <w:r>
              <w:rPr>
                <w:rFonts w:ascii="宋体" w:hAnsi="宋体" w:cs="宋体"/>
                <w:sz w:val="24"/>
              </w:rPr>
              <w:t>6</w:t>
            </w:r>
          </w:p>
        </w:tc>
        <w:tc>
          <w:tcPr>
            <w:tcW w:w="1134" w:type="dxa"/>
            <w:vAlign w:val="center"/>
          </w:tcPr>
          <w:p>
            <w:pPr>
              <w:spacing w:line="360" w:lineRule="auto"/>
              <w:rPr>
                <w:rFonts w:ascii="宋体" w:hAnsi="宋体" w:eastAsia="宋体" w:cs="宋体"/>
                <w:sz w:val="22"/>
              </w:rPr>
            </w:pPr>
            <w:r>
              <w:rPr>
                <w:rFonts w:hint="eastAsia" w:ascii="宋体" w:hAnsi="宋体" w:eastAsia="宋体" w:cs="宋体"/>
                <w:sz w:val="22"/>
              </w:rPr>
              <w:t>投标人要求</w:t>
            </w:r>
          </w:p>
        </w:tc>
        <w:tc>
          <w:tcPr>
            <w:tcW w:w="8312" w:type="dxa"/>
            <w:vAlign w:val="center"/>
          </w:tcPr>
          <w:p>
            <w:pPr>
              <w:numPr>
                <w:ilvl w:val="0"/>
                <w:numId w:val="1"/>
              </w:numPr>
              <w:spacing w:line="360" w:lineRule="auto"/>
              <w:rPr>
                <w:rFonts w:ascii="宋体" w:hAnsi="宋体" w:eastAsia="宋体" w:cs="宋体"/>
                <w:sz w:val="22"/>
              </w:rPr>
            </w:pPr>
            <w:r>
              <w:rPr>
                <w:rFonts w:hint="eastAsia" w:ascii="宋体" w:hAnsi="宋体" w:eastAsia="宋体" w:cs="宋体"/>
                <w:sz w:val="22"/>
              </w:rPr>
              <w:t>资质：具备独立法人资格；有相关工商资质；</w:t>
            </w:r>
          </w:p>
          <w:p>
            <w:pPr>
              <w:spacing w:line="360" w:lineRule="auto"/>
              <w:ind w:right="17"/>
              <w:rPr>
                <w:rFonts w:ascii="宋体" w:hAnsi="宋体" w:eastAsia="宋体" w:cs="宋体"/>
                <w:sz w:val="22"/>
              </w:rPr>
            </w:pPr>
            <w:r>
              <w:rPr>
                <w:rFonts w:hint="eastAsia" w:ascii="宋体" w:hAnsi="宋体" w:eastAsia="宋体" w:cs="宋体"/>
                <w:sz w:val="22"/>
              </w:rPr>
              <w:t>业绩：承接过同类或类似工程；无严重违约或重大安全质量问题。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09" w:type="dxa"/>
            <w:vAlign w:val="center"/>
          </w:tcPr>
          <w:p>
            <w:pPr>
              <w:spacing w:line="360" w:lineRule="auto"/>
              <w:jc w:val="center"/>
              <w:rPr>
                <w:rFonts w:ascii="宋体" w:hAnsi="宋体" w:cs="宋体"/>
                <w:sz w:val="24"/>
              </w:rPr>
            </w:pPr>
            <w:r>
              <w:rPr>
                <w:rFonts w:ascii="宋体" w:hAnsi="宋体" w:cs="宋体"/>
                <w:sz w:val="24"/>
              </w:rPr>
              <w:t>7</w:t>
            </w:r>
          </w:p>
        </w:tc>
        <w:tc>
          <w:tcPr>
            <w:tcW w:w="1134" w:type="dxa"/>
            <w:vAlign w:val="center"/>
          </w:tcPr>
          <w:p>
            <w:pPr>
              <w:spacing w:line="360" w:lineRule="auto"/>
              <w:rPr>
                <w:rFonts w:ascii="宋体" w:hAnsi="宋体" w:eastAsia="宋体" w:cs="宋体"/>
                <w:sz w:val="22"/>
              </w:rPr>
            </w:pPr>
            <w:r>
              <w:rPr>
                <w:rFonts w:hint="eastAsia" w:ascii="宋体" w:hAnsi="宋体" w:eastAsia="宋体" w:cs="宋体"/>
                <w:sz w:val="22"/>
              </w:rPr>
              <w:t>承包方式</w:t>
            </w:r>
          </w:p>
        </w:tc>
        <w:tc>
          <w:tcPr>
            <w:tcW w:w="8312" w:type="dxa"/>
            <w:vAlign w:val="center"/>
          </w:tcPr>
          <w:p>
            <w:pPr>
              <w:spacing w:line="360" w:lineRule="auto"/>
              <w:rPr>
                <w:rFonts w:ascii="宋体" w:hAnsi="宋体" w:eastAsia="宋体" w:cs="宋体"/>
                <w:sz w:val="22"/>
              </w:rPr>
            </w:pPr>
            <w:r>
              <w:rPr>
                <w:rFonts w:hint="eastAsia" w:ascii="宋体" w:hAnsi="宋体" w:eastAsia="宋体" w:cs="宋体"/>
                <w:b/>
                <w:bCs/>
                <w:sz w:val="22"/>
              </w:rPr>
              <w:t>采取固定总价包干方式</w:t>
            </w:r>
            <w:r>
              <w:rPr>
                <w:rFonts w:hint="eastAsia" w:ascii="宋体" w:hAnsi="宋体" w:eastAsia="宋体" w:cs="宋体"/>
                <w:sz w:val="22"/>
              </w:rPr>
              <w:t>，由承包方采取</w:t>
            </w:r>
            <w:r>
              <w:rPr>
                <w:rFonts w:ascii="宋体" w:hAnsi="宋体" w:eastAsia="宋体" w:cs="宋体"/>
                <w:sz w:val="22"/>
              </w:rPr>
              <w:t>全程包的方式为发包方提供服务</w:t>
            </w:r>
            <w:r>
              <w:rPr>
                <w:rFonts w:hint="eastAsia" w:ascii="宋体" w:hAnsi="宋体" w:eastAsia="宋体" w:cs="宋体"/>
                <w:sz w:val="22"/>
              </w:rPr>
              <w:t>，承包方</w:t>
            </w:r>
            <w:r>
              <w:rPr>
                <w:rFonts w:ascii="宋体" w:hAnsi="宋体" w:eastAsia="宋体" w:cs="宋体"/>
                <w:sz w:val="22"/>
              </w:rPr>
              <w:t>负责提供开荒</w:t>
            </w:r>
            <w:r>
              <w:rPr>
                <w:rFonts w:hint="eastAsia" w:ascii="宋体" w:hAnsi="宋体" w:eastAsia="宋体" w:cs="宋体"/>
                <w:sz w:val="22"/>
              </w:rPr>
              <w:t>清洁的</w:t>
            </w:r>
            <w:r>
              <w:rPr>
                <w:rFonts w:ascii="宋体" w:hAnsi="宋体" w:eastAsia="宋体" w:cs="宋体"/>
                <w:sz w:val="22"/>
              </w:rPr>
              <w:t>清洁工具及清洁用品。</w:t>
            </w:r>
            <w:r>
              <w:rPr>
                <w:rFonts w:hint="eastAsia" w:ascii="宋体" w:hAnsi="宋体" w:eastAsia="宋体" w:cs="宋体"/>
                <w:sz w:val="22"/>
              </w:rPr>
              <w:t>承包方包人员、包物料、包设施设备、包管理、包质量、包工期、包安全、包验收、包管理等直至验收合格交付使用。</w:t>
            </w:r>
          </w:p>
          <w:p>
            <w:pPr>
              <w:spacing w:line="360" w:lineRule="auto"/>
              <w:rPr>
                <w:rFonts w:ascii="宋体" w:hAnsi="宋体" w:eastAsia="宋体" w:cs="宋体"/>
                <w:sz w:val="22"/>
              </w:rPr>
            </w:pPr>
            <w:r>
              <w:rPr>
                <w:rFonts w:hint="eastAsia" w:ascii="宋体" w:hAnsi="宋体" w:eastAsia="宋体" w:cs="宋体"/>
                <w:sz w:val="22"/>
              </w:rPr>
              <w:t>固定</w:t>
            </w:r>
            <w:r>
              <w:rPr>
                <w:rFonts w:ascii="宋体" w:hAnsi="宋体" w:eastAsia="宋体" w:cs="宋体"/>
                <w:sz w:val="22"/>
              </w:rPr>
              <w:t>包干总价</w:t>
            </w:r>
            <w:r>
              <w:rPr>
                <w:rFonts w:hint="eastAsia" w:ascii="宋体" w:hAnsi="宋体" w:eastAsia="宋体" w:cs="宋体"/>
                <w:sz w:val="22"/>
              </w:rPr>
              <w:t>不因任何原因（包括约定作业面积误差、物价上涨、最低工资标准或社保交费基数上调、人员配置增加、设备配置调整等）调增，其中已包含承包方清洁人工</w:t>
            </w:r>
            <w:r>
              <w:rPr>
                <w:rFonts w:ascii="宋体" w:hAnsi="宋体" w:eastAsia="宋体" w:cs="宋体"/>
                <w:sz w:val="22"/>
              </w:rPr>
              <w:t>费</w:t>
            </w:r>
            <w:r>
              <w:rPr>
                <w:rFonts w:hint="eastAsia" w:ascii="宋体" w:hAnsi="宋体" w:eastAsia="宋体" w:cs="宋体"/>
                <w:sz w:val="22"/>
              </w:rPr>
              <w:t>、食宿及交通费、工具费、物料费、设备使用及折旧费、垃圾处理费、管理费、措施、规费</w:t>
            </w:r>
            <w:r>
              <w:rPr>
                <w:rFonts w:ascii="宋体" w:hAnsi="宋体" w:eastAsia="宋体" w:cs="宋体"/>
                <w:sz w:val="22"/>
              </w:rPr>
              <w:t>、</w:t>
            </w:r>
            <w:r>
              <w:rPr>
                <w:rFonts w:hint="eastAsia" w:ascii="宋体" w:hAnsi="宋体" w:eastAsia="宋体" w:cs="宋体"/>
                <w:sz w:val="22"/>
              </w:rPr>
              <w:t>利润、税金、保险等为完成本招标文件承包范围内开荒清洁</w:t>
            </w:r>
            <w:r>
              <w:rPr>
                <w:rFonts w:ascii="宋体" w:hAnsi="宋体" w:eastAsia="宋体" w:cs="宋体"/>
                <w:sz w:val="22"/>
              </w:rPr>
              <w:t>服务，</w:t>
            </w:r>
            <w:r>
              <w:rPr>
                <w:rFonts w:hint="eastAsia" w:ascii="宋体" w:hAnsi="宋体" w:eastAsia="宋体" w:cs="宋体"/>
                <w:sz w:val="22"/>
              </w:rPr>
              <w:t>发包方应向承包方支付的全部费用。除此之外，甲方无需就本承包范围项下开荒服务向乙方或第三方支付任何其他费用。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709" w:type="dxa"/>
            <w:vAlign w:val="center"/>
          </w:tcPr>
          <w:p>
            <w:pPr>
              <w:spacing w:line="360" w:lineRule="auto"/>
              <w:jc w:val="center"/>
              <w:rPr>
                <w:rFonts w:ascii="宋体" w:hAnsi="宋体" w:cs="宋体"/>
                <w:sz w:val="24"/>
              </w:rPr>
            </w:pPr>
            <w:r>
              <w:rPr>
                <w:rFonts w:ascii="宋体" w:hAnsi="宋体" w:cs="宋体"/>
                <w:sz w:val="24"/>
              </w:rPr>
              <w:t>8</w:t>
            </w:r>
          </w:p>
        </w:tc>
        <w:tc>
          <w:tcPr>
            <w:tcW w:w="1134" w:type="dxa"/>
            <w:vAlign w:val="center"/>
          </w:tcPr>
          <w:p>
            <w:pPr>
              <w:spacing w:line="360" w:lineRule="auto"/>
              <w:rPr>
                <w:rFonts w:ascii="宋体" w:hAnsi="宋体" w:eastAsia="宋体" w:cs="宋体"/>
                <w:sz w:val="22"/>
              </w:rPr>
            </w:pPr>
            <w:r>
              <w:rPr>
                <w:rFonts w:hint="eastAsia" w:ascii="宋体" w:hAnsi="宋体" w:eastAsia="宋体" w:cs="宋体"/>
                <w:b/>
                <w:bCs/>
                <w:sz w:val="22"/>
              </w:rPr>
              <w:t>投标文件提交地点及时间</w:t>
            </w:r>
          </w:p>
        </w:tc>
        <w:tc>
          <w:tcPr>
            <w:tcW w:w="8312" w:type="dxa"/>
            <w:vAlign w:val="center"/>
          </w:tcPr>
          <w:p>
            <w:pPr>
              <w:spacing w:line="360" w:lineRule="auto"/>
              <w:rPr>
                <w:rFonts w:ascii="宋体" w:hAnsi="宋体" w:eastAsia="宋体" w:cs="宋体"/>
                <w:b/>
                <w:bCs/>
                <w:sz w:val="22"/>
              </w:rPr>
            </w:pPr>
            <w:r>
              <w:rPr>
                <w:rFonts w:hint="eastAsia" w:ascii="宋体" w:hAnsi="宋体" w:eastAsia="宋体" w:cs="宋体"/>
                <w:b/>
                <w:bCs/>
                <w:sz w:val="22"/>
              </w:rPr>
              <w:t>地点：深圳市福田区香蜜湖路</w:t>
            </w:r>
            <w:r>
              <w:rPr>
                <w:rFonts w:ascii="宋体" w:hAnsi="宋体" w:eastAsia="宋体" w:cs="宋体"/>
                <w:b/>
                <w:bCs/>
                <w:sz w:val="22"/>
              </w:rPr>
              <w:t>3010号</w:t>
            </w:r>
            <w:r>
              <w:rPr>
                <w:rFonts w:hint="eastAsia" w:ascii="宋体" w:hAnsi="宋体" w:eastAsia="宋体" w:cs="宋体"/>
                <w:b/>
                <w:bCs/>
                <w:sz w:val="22"/>
              </w:rPr>
              <w:t xml:space="preserve">  </w:t>
            </w:r>
          </w:p>
          <w:p>
            <w:pPr>
              <w:spacing w:line="360" w:lineRule="auto"/>
              <w:rPr>
                <w:rFonts w:ascii="宋体" w:hAnsi="宋体" w:eastAsia="宋体" w:cs="宋体"/>
                <w:b/>
                <w:bCs/>
                <w:sz w:val="22"/>
              </w:rPr>
            </w:pPr>
            <w:r>
              <w:rPr>
                <w:rFonts w:hint="eastAsia" w:ascii="宋体" w:hAnsi="宋体" w:eastAsia="宋体" w:cs="宋体"/>
                <w:b/>
                <w:bCs/>
                <w:sz w:val="22"/>
              </w:rPr>
              <w:t>收件人：杨老师（联系电话：</w:t>
            </w:r>
            <w:r>
              <w:rPr>
                <w:rFonts w:ascii="宋体" w:hAnsi="宋体" w:eastAsia="宋体" w:cs="宋体"/>
                <w:b/>
                <w:bCs/>
                <w:sz w:val="22"/>
              </w:rPr>
              <w:t>0755-88605555</w:t>
            </w:r>
            <w:r>
              <w:rPr>
                <w:rFonts w:hint="eastAsia" w:ascii="宋体" w:hAnsi="宋体" w:eastAsia="宋体" w:cs="宋体"/>
                <w:b/>
                <w:bCs/>
                <w:sz w:val="22"/>
              </w:rPr>
              <w:t>）</w:t>
            </w:r>
          </w:p>
          <w:p>
            <w:pPr>
              <w:spacing w:line="360" w:lineRule="auto"/>
              <w:rPr>
                <w:rFonts w:ascii="宋体" w:hAnsi="宋体" w:eastAsia="宋体" w:cs="宋体"/>
                <w:sz w:val="22"/>
              </w:rPr>
            </w:pPr>
            <w:r>
              <w:rPr>
                <w:rFonts w:hint="eastAsia" w:ascii="宋体" w:hAnsi="宋体" w:eastAsia="宋体" w:cs="宋体"/>
                <w:b/>
                <w:bCs/>
                <w:sz w:val="22"/>
              </w:rPr>
              <w:t>时间：</w:t>
            </w:r>
            <w:r>
              <w:rPr>
                <w:rFonts w:ascii="宋体" w:hAnsi="宋体" w:eastAsia="宋体" w:cs="宋体"/>
                <w:b/>
                <w:bCs/>
                <w:sz w:val="22"/>
              </w:rPr>
              <w:t>2023</w:t>
            </w:r>
            <w:r>
              <w:rPr>
                <w:rFonts w:hint="eastAsia" w:ascii="宋体" w:hAnsi="宋体" w:eastAsia="宋体" w:cs="宋体"/>
                <w:b/>
                <w:bCs/>
                <w:sz w:val="22"/>
              </w:rPr>
              <w:t>年</w:t>
            </w:r>
            <w:r>
              <w:rPr>
                <w:rFonts w:ascii="宋体" w:hAnsi="宋体" w:eastAsia="宋体" w:cs="宋体"/>
                <w:b/>
                <w:bCs/>
                <w:sz w:val="22"/>
              </w:rPr>
              <w:t>8</w:t>
            </w:r>
            <w:r>
              <w:rPr>
                <w:rFonts w:hint="eastAsia" w:ascii="宋体" w:hAnsi="宋体" w:eastAsia="宋体" w:cs="宋体"/>
                <w:b/>
                <w:bCs/>
                <w:sz w:val="22"/>
              </w:rPr>
              <w:t>月</w:t>
            </w:r>
            <w:r>
              <w:rPr>
                <w:rFonts w:ascii="宋体" w:hAnsi="宋体" w:eastAsia="宋体" w:cs="宋体"/>
                <w:b/>
                <w:bCs/>
                <w:sz w:val="22"/>
              </w:rPr>
              <w:t>24</w:t>
            </w:r>
            <w:r>
              <w:rPr>
                <w:rFonts w:hint="eastAsia" w:ascii="宋体" w:hAnsi="宋体" w:eastAsia="宋体" w:cs="宋体"/>
                <w:b/>
                <w:bCs/>
                <w:sz w:val="22"/>
              </w:rPr>
              <w:t>日</w:t>
            </w:r>
            <w:r>
              <w:rPr>
                <w:rFonts w:ascii="宋体" w:hAnsi="宋体" w:eastAsia="宋体" w:cs="宋体"/>
                <w:b/>
                <w:bCs/>
                <w:sz w:val="22"/>
              </w:rPr>
              <w:t>9:30</w:t>
            </w:r>
            <w:r>
              <w:rPr>
                <w:rFonts w:hint="eastAsia" w:ascii="宋体" w:hAnsi="宋体" w:eastAsia="宋体" w:cs="宋体"/>
                <w:b/>
                <w:bCs/>
                <w:sz w:val="22"/>
              </w:rPr>
              <w:t>（北京时间）前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spacing w:line="360" w:lineRule="auto"/>
              <w:jc w:val="center"/>
              <w:rPr>
                <w:rFonts w:ascii="宋体" w:hAnsi="宋体" w:cs="宋体"/>
                <w:sz w:val="24"/>
              </w:rPr>
            </w:pPr>
            <w:r>
              <w:rPr>
                <w:rFonts w:ascii="宋体" w:hAnsi="宋体" w:cs="宋体"/>
                <w:sz w:val="24"/>
              </w:rPr>
              <w:t>9</w:t>
            </w:r>
          </w:p>
        </w:tc>
        <w:tc>
          <w:tcPr>
            <w:tcW w:w="1134" w:type="dxa"/>
            <w:vAlign w:val="center"/>
          </w:tcPr>
          <w:p>
            <w:pPr>
              <w:spacing w:line="360" w:lineRule="auto"/>
              <w:rPr>
                <w:rFonts w:ascii="宋体" w:hAnsi="宋体" w:eastAsia="宋体" w:cs="宋体"/>
                <w:sz w:val="22"/>
              </w:rPr>
            </w:pPr>
            <w:r>
              <w:rPr>
                <w:rFonts w:hint="eastAsia" w:ascii="宋体" w:hAnsi="宋体" w:eastAsia="宋体" w:cs="宋体"/>
                <w:sz w:val="22"/>
              </w:rPr>
              <w:t>评标方法</w:t>
            </w:r>
          </w:p>
        </w:tc>
        <w:tc>
          <w:tcPr>
            <w:tcW w:w="8312" w:type="dxa"/>
            <w:vAlign w:val="center"/>
          </w:tcPr>
          <w:p>
            <w:pPr>
              <w:spacing w:line="360" w:lineRule="auto"/>
              <w:rPr>
                <w:rFonts w:ascii="宋体" w:hAnsi="宋体" w:eastAsia="宋体" w:cs="宋体"/>
                <w:sz w:val="22"/>
              </w:rPr>
            </w:pPr>
            <w:r>
              <w:rPr>
                <w:rFonts w:hint="eastAsia" w:ascii="宋体" w:hAnsi="宋体" w:eastAsia="宋体" w:cs="宋体"/>
                <w:sz w:val="22"/>
              </w:rPr>
              <w:t>综合评分法。按照招标文件中规定的各项因素进行量化打分，以评标总得分的平均分最高的投标人为第一候选中标供应商，次高者为第二候选中标供应商；采购人授权评标委员会直接确定第一候选中标供应商为中标人。</w:t>
            </w:r>
          </w:p>
          <w:p>
            <w:pPr>
              <w:spacing w:line="360" w:lineRule="exact"/>
              <w:rPr>
                <w:rFonts w:ascii="宋体" w:hAnsi="宋体" w:eastAsia="宋体" w:cs="宋体"/>
                <w:sz w:val="22"/>
              </w:rPr>
            </w:pPr>
            <w:r>
              <w:rPr>
                <w:rFonts w:hint="eastAsia" w:ascii="宋体" w:hAnsi="宋体" w:eastAsia="宋体" w:cs="宋体"/>
                <w:sz w:val="22"/>
              </w:rPr>
              <w:t>综合评分法中的价格分统一采用低价优先法计算。即满足采购文件要求且投标价格最低的投标报价为评标基准价，其价格分为满分。</w:t>
            </w:r>
          </w:p>
          <w:tbl>
            <w:tblPr>
              <w:tblStyle w:val="8"/>
              <w:tblW w:w="7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243"/>
              <w:gridCol w:w="819"/>
              <w:gridCol w:w="1165"/>
              <w:gridCol w:w="3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970" w:type="dxa"/>
                  <w:gridSpan w:val="4"/>
                  <w:vAlign w:val="center"/>
                </w:tcPr>
                <w:p>
                  <w:pPr>
                    <w:spacing w:line="360" w:lineRule="exact"/>
                    <w:jc w:val="center"/>
                    <w:rPr>
                      <w:rFonts w:ascii="宋体" w:hAnsi="宋体" w:eastAsia="宋体" w:cs="宋体"/>
                      <w:sz w:val="18"/>
                      <w:szCs w:val="18"/>
                    </w:rPr>
                  </w:pPr>
                  <w:r>
                    <w:rPr>
                      <w:rFonts w:hint="eastAsia" w:ascii="宋体" w:hAnsi="宋体" w:eastAsia="宋体" w:cs="宋体"/>
                      <w:sz w:val="18"/>
                      <w:szCs w:val="18"/>
                    </w:rPr>
                    <w:t>评分项</w:t>
                  </w:r>
                </w:p>
              </w:tc>
              <w:tc>
                <w:tcPr>
                  <w:tcW w:w="3855" w:type="dxa"/>
                  <w:vAlign w:val="center"/>
                </w:tcPr>
                <w:p>
                  <w:pPr>
                    <w:spacing w:line="360" w:lineRule="exact"/>
                    <w:jc w:val="center"/>
                    <w:rPr>
                      <w:rFonts w:ascii="宋体" w:hAnsi="宋体" w:eastAsia="宋体" w:cs="宋体"/>
                      <w:sz w:val="18"/>
                      <w:szCs w:val="18"/>
                    </w:rPr>
                  </w:pPr>
                  <w:r>
                    <w:rPr>
                      <w:rFonts w:hint="eastAsia" w:ascii="宋体" w:hAnsi="宋体" w:eastAsia="宋体" w:cs="宋体"/>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970" w:type="dxa"/>
                  <w:gridSpan w:val="4"/>
                  <w:shd w:val="clear" w:color="auto" w:fill="8DB3E2"/>
                  <w:vAlign w:val="center"/>
                </w:tcPr>
                <w:p>
                  <w:pPr>
                    <w:spacing w:line="360" w:lineRule="exact"/>
                    <w:jc w:val="center"/>
                    <w:rPr>
                      <w:rFonts w:ascii="宋体" w:hAnsi="宋体" w:eastAsia="宋体" w:cs="宋体"/>
                      <w:sz w:val="18"/>
                      <w:szCs w:val="18"/>
                    </w:rPr>
                  </w:pPr>
                  <w:r>
                    <w:rPr>
                      <w:rFonts w:hint="eastAsia" w:ascii="宋体" w:hAnsi="宋体" w:eastAsia="宋体" w:cs="宋体"/>
                      <w:sz w:val="18"/>
                      <w:szCs w:val="18"/>
                    </w:rPr>
                    <w:t>价格</w:t>
                  </w:r>
                </w:p>
              </w:tc>
              <w:tc>
                <w:tcPr>
                  <w:tcW w:w="3855" w:type="dxa"/>
                  <w:shd w:val="clear" w:color="auto" w:fill="8DB3E2"/>
                  <w:vAlign w:val="center"/>
                </w:tcPr>
                <w:p>
                  <w:pPr>
                    <w:spacing w:line="360" w:lineRule="exact"/>
                    <w:jc w:val="center"/>
                    <w:rPr>
                      <w:rFonts w:ascii="宋体" w:hAnsi="宋体" w:eastAsia="宋体" w:cs="宋体"/>
                      <w:sz w:val="18"/>
                      <w:szCs w:val="18"/>
                    </w:rPr>
                  </w:pPr>
                  <w:r>
                    <w:rPr>
                      <w:rFonts w:ascii="宋体" w:hAnsi="宋体" w:eastAsia="宋体" w:cs="宋体"/>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970" w:type="dxa"/>
                  <w:gridSpan w:val="4"/>
                  <w:shd w:val="clear" w:color="auto" w:fill="8DB3E2"/>
                  <w:vAlign w:val="center"/>
                </w:tcPr>
                <w:p>
                  <w:pPr>
                    <w:spacing w:line="360" w:lineRule="exact"/>
                    <w:jc w:val="center"/>
                    <w:rPr>
                      <w:rFonts w:ascii="宋体" w:hAnsi="宋体" w:eastAsia="宋体" w:cs="宋体"/>
                      <w:sz w:val="18"/>
                      <w:szCs w:val="18"/>
                    </w:rPr>
                  </w:pPr>
                  <w:r>
                    <w:rPr>
                      <w:rFonts w:hint="eastAsia" w:ascii="宋体" w:hAnsi="宋体" w:eastAsia="宋体" w:cs="宋体"/>
                      <w:sz w:val="18"/>
                      <w:szCs w:val="18"/>
                    </w:rPr>
                    <w:t>技术部分</w:t>
                  </w:r>
                </w:p>
              </w:tc>
              <w:tc>
                <w:tcPr>
                  <w:tcW w:w="3855" w:type="dxa"/>
                  <w:shd w:val="clear" w:color="auto" w:fill="8DB3E2"/>
                  <w:vAlign w:val="center"/>
                </w:tcPr>
                <w:p>
                  <w:pPr>
                    <w:spacing w:line="360" w:lineRule="exact"/>
                    <w:jc w:val="center"/>
                    <w:rPr>
                      <w:rFonts w:ascii="宋体" w:hAnsi="宋体" w:eastAsia="宋体" w:cs="宋体"/>
                      <w:sz w:val="18"/>
                      <w:szCs w:val="18"/>
                    </w:rPr>
                  </w:pPr>
                  <w:r>
                    <w:rPr>
                      <w:rFonts w:ascii="宋体" w:hAnsi="宋体" w:eastAsia="宋体" w:cs="宋体"/>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43" w:type="dxa"/>
                  <w:vAlign w:val="center"/>
                </w:tcPr>
                <w:p>
                  <w:pPr>
                    <w:spacing w:line="360" w:lineRule="exact"/>
                    <w:jc w:val="center"/>
                    <w:rPr>
                      <w:rFonts w:ascii="宋体" w:hAnsi="宋体" w:eastAsia="宋体" w:cs="宋体"/>
                      <w:sz w:val="18"/>
                      <w:szCs w:val="18"/>
                    </w:rPr>
                  </w:pPr>
                  <w:r>
                    <w:rPr>
                      <w:rFonts w:hint="eastAsia" w:ascii="宋体" w:hAnsi="宋体" w:eastAsia="宋体" w:cs="宋体"/>
                      <w:sz w:val="18"/>
                      <w:szCs w:val="18"/>
                    </w:rPr>
                    <w:t>序号</w:t>
                  </w:r>
                </w:p>
              </w:tc>
              <w:tc>
                <w:tcPr>
                  <w:tcW w:w="1243" w:type="dxa"/>
                  <w:vAlign w:val="center"/>
                </w:tcPr>
                <w:p>
                  <w:pPr>
                    <w:spacing w:line="360" w:lineRule="exact"/>
                    <w:jc w:val="center"/>
                    <w:rPr>
                      <w:rFonts w:ascii="宋体" w:hAnsi="宋体" w:eastAsia="宋体" w:cs="宋体"/>
                      <w:sz w:val="18"/>
                      <w:szCs w:val="18"/>
                    </w:rPr>
                  </w:pPr>
                  <w:r>
                    <w:rPr>
                      <w:rFonts w:hint="eastAsia" w:ascii="宋体" w:hAnsi="宋体" w:eastAsia="宋体" w:cs="宋体"/>
                      <w:sz w:val="18"/>
                      <w:szCs w:val="18"/>
                    </w:rPr>
                    <w:t>评分因素</w:t>
                  </w:r>
                </w:p>
              </w:tc>
              <w:tc>
                <w:tcPr>
                  <w:tcW w:w="819" w:type="dxa"/>
                  <w:vAlign w:val="center"/>
                </w:tcPr>
                <w:p>
                  <w:pPr>
                    <w:spacing w:line="360" w:lineRule="exact"/>
                    <w:jc w:val="center"/>
                    <w:rPr>
                      <w:rFonts w:ascii="宋体" w:hAnsi="宋体" w:eastAsia="宋体" w:cs="宋体"/>
                      <w:sz w:val="18"/>
                      <w:szCs w:val="18"/>
                    </w:rPr>
                  </w:pPr>
                  <w:r>
                    <w:rPr>
                      <w:rFonts w:hint="eastAsia" w:ascii="宋体" w:hAnsi="宋体" w:eastAsia="宋体" w:cs="宋体"/>
                      <w:sz w:val="18"/>
                      <w:szCs w:val="18"/>
                    </w:rPr>
                    <w:t>分值</w:t>
                  </w:r>
                </w:p>
              </w:tc>
              <w:tc>
                <w:tcPr>
                  <w:tcW w:w="1165" w:type="dxa"/>
                  <w:vAlign w:val="center"/>
                </w:tcPr>
                <w:p>
                  <w:pPr>
                    <w:spacing w:line="360" w:lineRule="exact"/>
                    <w:jc w:val="center"/>
                    <w:rPr>
                      <w:rFonts w:ascii="宋体" w:hAnsi="宋体" w:eastAsia="宋体" w:cs="宋体"/>
                      <w:sz w:val="18"/>
                      <w:szCs w:val="18"/>
                    </w:rPr>
                  </w:pPr>
                  <w:r>
                    <w:rPr>
                      <w:rFonts w:hint="eastAsia" w:ascii="宋体" w:hAnsi="宋体" w:eastAsia="宋体" w:cs="宋体"/>
                      <w:sz w:val="18"/>
                      <w:szCs w:val="18"/>
                    </w:rPr>
                    <w:t>评分方式</w:t>
                  </w:r>
                </w:p>
              </w:tc>
              <w:tc>
                <w:tcPr>
                  <w:tcW w:w="3855" w:type="dxa"/>
                  <w:vAlign w:val="center"/>
                </w:tcPr>
                <w:p>
                  <w:pPr>
                    <w:spacing w:line="360" w:lineRule="exact"/>
                    <w:jc w:val="center"/>
                    <w:rPr>
                      <w:rFonts w:ascii="宋体" w:hAnsi="宋体" w:eastAsia="宋体" w:cs="宋体"/>
                      <w:sz w:val="18"/>
                      <w:szCs w:val="18"/>
                    </w:rPr>
                  </w:pPr>
                  <w:r>
                    <w:rPr>
                      <w:rFonts w:hint="eastAsia" w:ascii="宋体" w:hAnsi="宋体" w:eastAsia="宋体" w:cs="宋体"/>
                      <w:sz w:val="18"/>
                      <w:szCs w:val="1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3" w:type="dxa"/>
                  <w:vAlign w:val="center"/>
                </w:tcPr>
                <w:p>
                  <w:pPr>
                    <w:spacing w:line="360" w:lineRule="exact"/>
                    <w:jc w:val="center"/>
                    <w:rPr>
                      <w:rFonts w:ascii="宋体" w:hAnsi="宋体" w:eastAsia="宋体" w:cs="宋体"/>
                      <w:sz w:val="18"/>
                      <w:szCs w:val="18"/>
                    </w:rPr>
                  </w:pPr>
                  <w:r>
                    <w:rPr>
                      <w:rFonts w:hint="eastAsia" w:ascii="宋体" w:hAnsi="宋体" w:eastAsia="宋体" w:cs="宋体"/>
                      <w:sz w:val="18"/>
                      <w:szCs w:val="18"/>
                    </w:rPr>
                    <w:t>1</w:t>
                  </w:r>
                </w:p>
              </w:tc>
              <w:tc>
                <w:tcPr>
                  <w:tcW w:w="1243" w:type="dxa"/>
                  <w:vAlign w:val="center"/>
                </w:tcPr>
                <w:p>
                  <w:pPr>
                    <w:spacing w:line="360" w:lineRule="exact"/>
                    <w:jc w:val="center"/>
                    <w:rPr>
                      <w:rFonts w:ascii="宋体" w:hAnsi="宋体" w:eastAsia="宋体" w:cs="宋体"/>
                      <w:sz w:val="18"/>
                      <w:szCs w:val="18"/>
                    </w:rPr>
                  </w:pPr>
                  <w:r>
                    <w:rPr>
                      <w:rFonts w:hint="eastAsia" w:ascii="宋体" w:hAnsi="宋体" w:eastAsia="宋体" w:cs="宋体"/>
                      <w:sz w:val="18"/>
                      <w:szCs w:val="18"/>
                    </w:rPr>
                    <w:t>项目服务方案</w:t>
                  </w:r>
                </w:p>
              </w:tc>
              <w:tc>
                <w:tcPr>
                  <w:tcW w:w="819" w:type="dxa"/>
                  <w:vAlign w:val="center"/>
                </w:tcPr>
                <w:p>
                  <w:pPr>
                    <w:spacing w:line="360" w:lineRule="exact"/>
                    <w:jc w:val="center"/>
                    <w:rPr>
                      <w:rFonts w:ascii="宋体" w:hAnsi="宋体" w:eastAsia="宋体" w:cs="宋体"/>
                      <w:sz w:val="18"/>
                      <w:szCs w:val="18"/>
                    </w:rPr>
                  </w:pPr>
                  <w:r>
                    <w:rPr>
                      <w:rFonts w:ascii="宋体" w:hAnsi="宋体" w:eastAsia="宋体" w:cs="宋体"/>
                      <w:sz w:val="18"/>
                      <w:szCs w:val="18"/>
                    </w:rPr>
                    <w:t>40</w:t>
                  </w:r>
                </w:p>
              </w:tc>
              <w:tc>
                <w:tcPr>
                  <w:tcW w:w="1165" w:type="dxa"/>
                  <w:vAlign w:val="center"/>
                </w:tcPr>
                <w:p>
                  <w:pPr>
                    <w:spacing w:line="360" w:lineRule="exact"/>
                    <w:jc w:val="center"/>
                    <w:rPr>
                      <w:rFonts w:ascii="宋体" w:hAnsi="宋体" w:eastAsia="宋体" w:cs="宋体"/>
                      <w:sz w:val="18"/>
                      <w:szCs w:val="18"/>
                    </w:rPr>
                  </w:pPr>
                  <w:r>
                    <w:rPr>
                      <w:rFonts w:hint="eastAsia" w:ascii="宋体" w:hAnsi="宋体" w:eastAsia="宋体" w:cs="宋体"/>
                      <w:sz w:val="18"/>
                      <w:szCs w:val="18"/>
                    </w:rPr>
                    <w:t>专家打分</w:t>
                  </w:r>
                </w:p>
              </w:tc>
              <w:tc>
                <w:tcPr>
                  <w:tcW w:w="3855" w:type="dxa"/>
                  <w:vAlign w:val="center"/>
                </w:tcPr>
                <w:p>
                  <w:pPr>
                    <w:spacing w:line="360" w:lineRule="exact"/>
                    <w:jc w:val="left"/>
                    <w:rPr>
                      <w:rFonts w:ascii="宋体" w:hAnsi="宋体" w:eastAsia="宋体" w:cs="宋体"/>
                      <w:sz w:val="18"/>
                      <w:szCs w:val="18"/>
                    </w:rPr>
                  </w:pPr>
                  <w:r>
                    <w:rPr>
                      <w:rFonts w:hint="eastAsia" w:ascii="宋体" w:hAnsi="宋体" w:eastAsia="宋体" w:cs="宋体"/>
                      <w:sz w:val="18"/>
                      <w:szCs w:val="18"/>
                    </w:rPr>
                    <w:t>评审委员会根据投标人提供的服务方案进行评价。服务方案内容包括开荒细节、用人用具配套、计划工期方案等。</w:t>
                  </w:r>
                </w:p>
                <w:p>
                  <w:pPr>
                    <w:spacing w:line="360" w:lineRule="exact"/>
                    <w:jc w:val="left"/>
                    <w:rPr>
                      <w:rFonts w:ascii="宋体" w:hAnsi="宋体" w:eastAsia="宋体" w:cs="宋体"/>
                      <w:sz w:val="18"/>
                      <w:szCs w:val="18"/>
                    </w:rPr>
                  </w:pPr>
                  <w:r>
                    <w:rPr>
                      <w:rFonts w:hint="eastAsia" w:ascii="宋体" w:hAnsi="宋体" w:eastAsia="宋体" w:cs="宋体"/>
                      <w:sz w:val="18"/>
                      <w:szCs w:val="18"/>
                    </w:rPr>
                    <w:t>优良中差评分标准：</w:t>
                  </w:r>
                </w:p>
                <w:p>
                  <w:pPr>
                    <w:spacing w:line="360" w:lineRule="exact"/>
                    <w:jc w:val="left"/>
                    <w:rPr>
                      <w:rFonts w:ascii="宋体" w:hAnsi="宋体" w:eastAsia="宋体" w:cs="宋体"/>
                      <w:sz w:val="18"/>
                      <w:szCs w:val="18"/>
                    </w:rPr>
                  </w:pPr>
                  <w:r>
                    <w:rPr>
                      <w:rFonts w:hint="eastAsia" w:ascii="宋体" w:hAnsi="宋体" w:eastAsia="宋体" w:cs="宋体"/>
                      <w:sz w:val="18"/>
                      <w:szCs w:val="18"/>
                    </w:rPr>
                    <w:t>（1）内容全面；</w:t>
                  </w:r>
                </w:p>
                <w:p>
                  <w:pPr>
                    <w:spacing w:line="360" w:lineRule="exact"/>
                    <w:jc w:val="left"/>
                    <w:rPr>
                      <w:rFonts w:ascii="宋体" w:hAnsi="宋体" w:eastAsia="宋体" w:cs="宋体"/>
                      <w:sz w:val="18"/>
                      <w:szCs w:val="18"/>
                    </w:rPr>
                  </w:pPr>
                  <w:r>
                    <w:rPr>
                      <w:rFonts w:hint="eastAsia" w:ascii="宋体" w:hAnsi="宋体" w:eastAsia="宋体" w:cs="宋体"/>
                      <w:sz w:val="18"/>
                      <w:szCs w:val="18"/>
                    </w:rPr>
                    <w:t>（2）内容具体；</w:t>
                  </w:r>
                </w:p>
                <w:p>
                  <w:pPr>
                    <w:spacing w:line="360" w:lineRule="exact"/>
                    <w:jc w:val="left"/>
                    <w:rPr>
                      <w:rFonts w:ascii="宋体" w:hAnsi="宋体" w:eastAsia="宋体" w:cs="宋体"/>
                      <w:sz w:val="18"/>
                      <w:szCs w:val="18"/>
                    </w:rPr>
                  </w:pPr>
                  <w:r>
                    <w:rPr>
                      <w:rFonts w:hint="eastAsia" w:ascii="宋体" w:hAnsi="宋体" w:eastAsia="宋体" w:cs="宋体"/>
                      <w:sz w:val="18"/>
                      <w:szCs w:val="18"/>
                    </w:rPr>
                    <w:t>（3）内容针对性强；</w:t>
                  </w:r>
                </w:p>
                <w:p>
                  <w:pPr>
                    <w:spacing w:line="360" w:lineRule="exact"/>
                    <w:jc w:val="left"/>
                    <w:rPr>
                      <w:rFonts w:ascii="宋体" w:hAnsi="宋体" w:eastAsia="宋体" w:cs="宋体"/>
                      <w:sz w:val="18"/>
                      <w:szCs w:val="18"/>
                    </w:rPr>
                  </w:pPr>
                  <w:r>
                    <w:rPr>
                      <w:rFonts w:hint="eastAsia" w:ascii="宋体" w:hAnsi="宋体" w:eastAsia="宋体" w:cs="宋体"/>
                      <w:sz w:val="18"/>
                      <w:szCs w:val="18"/>
                    </w:rPr>
                    <w:t>（4）内容科学合理；</w:t>
                  </w:r>
                </w:p>
                <w:p>
                  <w:pPr>
                    <w:spacing w:line="360" w:lineRule="exact"/>
                    <w:jc w:val="left"/>
                    <w:rPr>
                      <w:rFonts w:ascii="宋体" w:hAnsi="宋体" w:eastAsia="宋体" w:cs="宋体"/>
                      <w:sz w:val="18"/>
                      <w:szCs w:val="18"/>
                    </w:rPr>
                  </w:pPr>
                  <w:r>
                    <w:rPr>
                      <w:rFonts w:hint="eastAsia" w:ascii="宋体" w:hAnsi="宋体" w:eastAsia="宋体" w:cs="宋体"/>
                      <w:sz w:val="18"/>
                      <w:szCs w:val="18"/>
                    </w:rPr>
                    <w:t>（5）内容可操作性强。</w:t>
                  </w:r>
                </w:p>
                <w:p>
                  <w:pPr>
                    <w:spacing w:line="360" w:lineRule="exact"/>
                    <w:jc w:val="left"/>
                    <w:rPr>
                      <w:rFonts w:ascii="宋体" w:hAnsi="宋体" w:eastAsia="宋体" w:cs="宋体"/>
                      <w:sz w:val="18"/>
                      <w:szCs w:val="18"/>
                    </w:rPr>
                  </w:pPr>
                  <w:r>
                    <w:rPr>
                      <w:rFonts w:hint="eastAsia" w:ascii="宋体" w:hAnsi="宋体" w:eastAsia="宋体" w:cs="宋体"/>
                      <w:sz w:val="18"/>
                      <w:szCs w:val="18"/>
                    </w:rPr>
                    <w:t>满足以上五项要求的评价为优，得</w:t>
                  </w:r>
                  <w:r>
                    <w:rPr>
                      <w:rFonts w:ascii="宋体" w:hAnsi="宋体" w:eastAsia="宋体" w:cs="宋体"/>
                      <w:sz w:val="18"/>
                      <w:szCs w:val="18"/>
                    </w:rPr>
                    <w:t>25</w:t>
                  </w:r>
                  <w:r>
                    <w:rPr>
                      <w:rFonts w:hint="eastAsia" w:ascii="宋体" w:hAnsi="宋体" w:eastAsia="宋体" w:cs="宋体"/>
                      <w:sz w:val="18"/>
                      <w:szCs w:val="18"/>
                    </w:rPr>
                    <w:t>分。</w:t>
                  </w:r>
                </w:p>
                <w:p>
                  <w:pPr>
                    <w:spacing w:line="360" w:lineRule="exact"/>
                    <w:jc w:val="left"/>
                    <w:rPr>
                      <w:rFonts w:ascii="宋体" w:hAnsi="宋体" w:eastAsia="宋体" w:cs="宋体"/>
                      <w:sz w:val="18"/>
                      <w:szCs w:val="18"/>
                    </w:rPr>
                  </w:pPr>
                  <w:r>
                    <w:rPr>
                      <w:rFonts w:hint="eastAsia" w:ascii="宋体" w:hAnsi="宋体" w:eastAsia="宋体" w:cs="宋体"/>
                      <w:sz w:val="18"/>
                      <w:szCs w:val="18"/>
                    </w:rPr>
                    <w:t>满足以上四项要求的评价为良，得</w:t>
                  </w:r>
                  <w:r>
                    <w:rPr>
                      <w:rFonts w:ascii="宋体" w:hAnsi="宋体" w:eastAsia="宋体" w:cs="宋体"/>
                      <w:sz w:val="18"/>
                      <w:szCs w:val="18"/>
                    </w:rPr>
                    <w:t>20</w:t>
                  </w:r>
                  <w:r>
                    <w:rPr>
                      <w:rFonts w:hint="eastAsia" w:ascii="宋体" w:hAnsi="宋体" w:eastAsia="宋体" w:cs="宋体"/>
                      <w:sz w:val="18"/>
                      <w:szCs w:val="18"/>
                    </w:rPr>
                    <w:t>分。</w:t>
                  </w:r>
                </w:p>
                <w:p>
                  <w:pPr>
                    <w:spacing w:line="360" w:lineRule="exact"/>
                    <w:jc w:val="left"/>
                    <w:rPr>
                      <w:rFonts w:ascii="宋体" w:hAnsi="宋体" w:eastAsia="宋体" w:cs="宋体"/>
                      <w:sz w:val="18"/>
                      <w:szCs w:val="18"/>
                    </w:rPr>
                  </w:pPr>
                  <w:r>
                    <w:rPr>
                      <w:rFonts w:hint="eastAsia" w:ascii="宋体" w:hAnsi="宋体" w:eastAsia="宋体" w:cs="宋体"/>
                      <w:sz w:val="18"/>
                      <w:szCs w:val="18"/>
                    </w:rPr>
                    <w:t>满足以上三项要求的评价为中，得15分。</w:t>
                  </w:r>
                </w:p>
                <w:p>
                  <w:pPr>
                    <w:spacing w:line="360" w:lineRule="exact"/>
                    <w:rPr>
                      <w:rFonts w:ascii="宋体" w:hAnsi="宋体" w:eastAsia="宋体" w:cs="宋体"/>
                      <w:sz w:val="18"/>
                      <w:szCs w:val="18"/>
                    </w:rPr>
                  </w:pPr>
                  <w:r>
                    <w:rPr>
                      <w:rFonts w:hint="eastAsia" w:ascii="宋体" w:hAnsi="宋体" w:eastAsia="宋体" w:cs="宋体"/>
                      <w:sz w:val="18"/>
                      <w:szCs w:val="18"/>
                    </w:rPr>
                    <w:t>其它情况的评价为差，不得分。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970" w:type="dxa"/>
                  <w:gridSpan w:val="4"/>
                  <w:shd w:val="clear" w:color="auto" w:fill="8DB3E2"/>
                  <w:vAlign w:val="center"/>
                </w:tcPr>
                <w:p>
                  <w:pPr>
                    <w:spacing w:line="360" w:lineRule="exact"/>
                    <w:jc w:val="center"/>
                    <w:rPr>
                      <w:rFonts w:ascii="宋体" w:hAnsi="宋体" w:eastAsia="宋体" w:cs="宋体"/>
                      <w:sz w:val="18"/>
                      <w:szCs w:val="18"/>
                    </w:rPr>
                  </w:pPr>
                  <w:r>
                    <w:rPr>
                      <w:rFonts w:hint="eastAsia" w:ascii="宋体" w:hAnsi="宋体" w:eastAsia="宋体" w:cs="宋体"/>
                      <w:sz w:val="18"/>
                      <w:szCs w:val="18"/>
                    </w:rPr>
                    <w:t>商务部分</w:t>
                  </w:r>
                </w:p>
              </w:tc>
              <w:tc>
                <w:tcPr>
                  <w:tcW w:w="3855" w:type="dxa"/>
                  <w:shd w:val="clear" w:color="auto" w:fill="8DB3E2"/>
                  <w:vAlign w:val="center"/>
                </w:tcPr>
                <w:p>
                  <w:pPr>
                    <w:spacing w:line="360" w:lineRule="exact"/>
                    <w:ind w:firstLine="360" w:firstLineChars="200"/>
                    <w:jc w:val="center"/>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43" w:type="dxa"/>
                  <w:vAlign w:val="center"/>
                </w:tcPr>
                <w:p>
                  <w:pPr>
                    <w:spacing w:line="360" w:lineRule="exact"/>
                    <w:jc w:val="center"/>
                    <w:rPr>
                      <w:rFonts w:ascii="宋体" w:hAnsi="宋体" w:eastAsia="宋体" w:cs="宋体"/>
                      <w:sz w:val="18"/>
                      <w:szCs w:val="18"/>
                    </w:rPr>
                  </w:pPr>
                  <w:r>
                    <w:rPr>
                      <w:rFonts w:hint="eastAsia" w:ascii="宋体" w:hAnsi="宋体" w:eastAsia="宋体" w:cs="宋体"/>
                      <w:sz w:val="18"/>
                      <w:szCs w:val="18"/>
                    </w:rPr>
                    <w:t>序号</w:t>
                  </w:r>
                </w:p>
              </w:tc>
              <w:tc>
                <w:tcPr>
                  <w:tcW w:w="1243" w:type="dxa"/>
                  <w:vAlign w:val="center"/>
                </w:tcPr>
                <w:p>
                  <w:pPr>
                    <w:spacing w:line="360" w:lineRule="exact"/>
                    <w:jc w:val="center"/>
                    <w:rPr>
                      <w:rFonts w:ascii="宋体" w:hAnsi="宋体" w:eastAsia="宋体" w:cs="宋体"/>
                      <w:sz w:val="18"/>
                      <w:szCs w:val="18"/>
                    </w:rPr>
                  </w:pPr>
                  <w:r>
                    <w:rPr>
                      <w:rFonts w:hint="eastAsia" w:ascii="宋体" w:hAnsi="宋体" w:eastAsia="宋体" w:cs="宋体"/>
                      <w:sz w:val="18"/>
                      <w:szCs w:val="18"/>
                    </w:rPr>
                    <w:t>评分因素</w:t>
                  </w:r>
                </w:p>
              </w:tc>
              <w:tc>
                <w:tcPr>
                  <w:tcW w:w="819" w:type="dxa"/>
                  <w:vAlign w:val="center"/>
                </w:tcPr>
                <w:p>
                  <w:pPr>
                    <w:spacing w:line="360" w:lineRule="exact"/>
                    <w:jc w:val="center"/>
                    <w:rPr>
                      <w:rFonts w:ascii="宋体" w:hAnsi="宋体" w:eastAsia="宋体" w:cs="宋体"/>
                      <w:sz w:val="18"/>
                      <w:szCs w:val="18"/>
                    </w:rPr>
                  </w:pPr>
                  <w:r>
                    <w:rPr>
                      <w:rFonts w:hint="eastAsia" w:ascii="宋体" w:hAnsi="宋体" w:eastAsia="宋体" w:cs="宋体"/>
                      <w:sz w:val="18"/>
                      <w:szCs w:val="18"/>
                    </w:rPr>
                    <w:t>权重</w:t>
                  </w:r>
                </w:p>
              </w:tc>
              <w:tc>
                <w:tcPr>
                  <w:tcW w:w="1165" w:type="dxa"/>
                  <w:vAlign w:val="center"/>
                </w:tcPr>
                <w:p>
                  <w:pPr>
                    <w:spacing w:line="360" w:lineRule="exact"/>
                    <w:jc w:val="center"/>
                    <w:rPr>
                      <w:rFonts w:ascii="宋体" w:hAnsi="宋体" w:eastAsia="宋体" w:cs="宋体"/>
                      <w:sz w:val="18"/>
                      <w:szCs w:val="18"/>
                    </w:rPr>
                  </w:pPr>
                  <w:r>
                    <w:rPr>
                      <w:rFonts w:hint="eastAsia" w:ascii="宋体" w:hAnsi="宋体" w:eastAsia="宋体" w:cs="宋体"/>
                      <w:sz w:val="18"/>
                      <w:szCs w:val="18"/>
                    </w:rPr>
                    <w:t>评分方式</w:t>
                  </w:r>
                </w:p>
              </w:tc>
              <w:tc>
                <w:tcPr>
                  <w:tcW w:w="3855" w:type="dxa"/>
                  <w:vAlign w:val="center"/>
                </w:tcPr>
                <w:p>
                  <w:pPr>
                    <w:spacing w:line="360" w:lineRule="exact"/>
                    <w:ind w:firstLine="360" w:firstLineChars="200"/>
                    <w:jc w:val="center"/>
                    <w:rPr>
                      <w:rFonts w:ascii="宋体" w:hAnsi="宋体" w:eastAsia="宋体" w:cs="宋体"/>
                      <w:sz w:val="18"/>
                      <w:szCs w:val="18"/>
                    </w:rPr>
                  </w:pPr>
                  <w:r>
                    <w:rPr>
                      <w:rFonts w:hint="eastAsia" w:ascii="宋体" w:hAnsi="宋体" w:eastAsia="宋体" w:cs="宋体"/>
                      <w:sz w:val="18"/>
                      <w:szCs w:val="1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43" w:type="dxa"/>
                  <w:vAlign w:val="center"/>
                </w:tcPr>
                <w:p>
                  <w:pPr>
                    <w:spacing w:line="360" w:lineRule="exact"/>
                    <w:jc w:val="center"/>
                    <w:rPr>
                      <w:rFonts w:ascii="宋体" w:hAnsi="宋体" w:eastAsia="宋体" w:cs="宋体"/>
                      <w:sz w:val="18"/>
                      <w:szCs w:val="18"/>
                    </w:rPr>
                  </w:pPr>
                  <w:r>
                    <w:rPr>
                      <w:rFonts w:ascii="宋体" w:hAnsi="宋体" w:eastAsia="宋体" w:cs="宋体"/>
                      <w:sz w:val="18"/>
                      <w:szCs w:val="18"/>
                    </w:rPr>
                    <w:t>1</w:t>
                  </w:r>
                </w:p>
              </w:tc>
              <w:tc>
                <w:tcPr>
                  <w:tcW w:w="1243" w:type="dxa"/>
                  <w:vAlign w:val="center"/>
                </w:tcPr>
                <w:p>
                  <w:pPr>
                    <w:widowControl/>
                    <w:snapToGrid w:val="0"/>
                    <w:spacing w:line="360" w:lineRule="exact"/>
                    <w:jc w:val="center"/>
                    <w:rPr>
                      <w:rFonts w:ascii="宋体" w:hAnsi="宋体" w:eastAsia="宋体" w:cs="宋体"/>
                      <w:sz w:val="18"/>
                      <w:szCs w:val="18"/>
                    </w:rPr>
                  </w:pPr>
                  <w:r>
                    <w:rPr>
                      <w:rFonts w:hint="eastAsia" w:ascii="宋体" w:hAnsi="宋体" w:eastAsia="宋体" w:cs="宋体"/>
                      <w:sz w:val="18"/>
                      <w:szCs w:val="18"/>
                    </w:rPr>
                    <w:t>项目负责人</w:t>
                  </w:r>
                </w:p>
              </w:tc>
              <w:tc>
                <w:tcPr>
                  <w:tcW w:w="819" w:type="dxa"/>
                  <w:vAlign w:val="center"/>
                </w:tcPr>
                <w:p>
                  <w:pPr>
                    <w:widowControl/>
                    <w:snapToGrid w:val="0"/>
                    <w:spacing w:line="360" w:lineRule="exact"/>
                    <w:jc w:val="center"/>
                    <w:rPr>
                      <w:rFonts w:ascii="宋体" w:hAnsi="宋体" w:eastAsia="宋体" w:cs="宋体"/>
                      <w:kern w:val="0"/>
                      <w:sz w:val="18"/>
                      <w:szCs w:val="18"/>
                    </w:rPr>
                  </w:pPr>
                  <w:r>
                    <w:rPr>
                      <w:rFonts w:ascii="宋体" w:hAnsi="宋体" w:eastAsia="宋体" w:cs="宋体"/>
                      <w:kern w:val="0"/>
                      <w:sz w:val="18"/>
                      <w:szCs w:val="18"/>
                    </w:rPr>
                    <w:t>10</w:t>
                  </w:r>
                </w:p>
              </w:tc>
              <w:tc>
                <w:tcPr>
                  <w:tcW w:w="1165" w:type="dxa"/>
                  <w:vAlign w:val="center"/>
                </w:tcPr>
                <w:p>
                  <w:pPr>
                    <w:spacing w:line="360" w:lineRule="exact"/>
                    <w:jc w:val="left"/>
                    <w:rPr>
                      <w:rFonts w:ascii="宋体" w:hAnsi="宋体" w:eastAsia="宋体" w:cs="宋体"/>
                      <w:sz w:val="18"/>
                      <w:szCs w:val="18"/>
                    </w:rPr>
                  </w:pPr>
                  <w:r>
                    <w:rPr>
                      <w:rFonts w:hint="eastAsia" w:ascii="宋体" w:hAnsi="宋体" w:eastAsia="宋体" w:cs="宋体"/>
                      <w:sz w:val="18"/>
                      <w:szCs w:val="18"/>
                    </w:rPr>
                    <w:t>专家打分</w:t>
                  </w:r>
                </w:p>
              </w:tc>
              <w:tc>
                <w:tcPr>
                  <w:tcW w:w="3855" w:type="dxa"/>
                </w:tcPr>
                <w:p>
                  <w:pPr>
                    <w:spacing w:line="360" w:lineRule="exact"/>
                    <w:jc w:val="left"/>
                    <w:rPr>
                      <w:rFonts w:ascii="Times New Roman" w:hAnsi="Times New Roman" w:eastAsia="宋体" w:cs="Times New Roman"/>
                      <w:sz w:val="18"/>
                      <w:szCs w:val="18"/>
                    </w:rPr>
                  </w:pPr>
                  <w:r>
                    <w:rPr>
                      <w:rFonts w:hint="eastAsia" w:ascii="宋体" w:hAnsi="宋体" w:eastAsia="宋体" w:cs="宋体"/>
                      <w:sz w:val="18"/>
                      <w:szCs w:val="18"/>
                    </w:rPr>
                    <w:t>项目负责人具有</w:t>
                  </w:r>
                  <w:r>
                    <w:rPr>
                      <w:rFonts w:hint="eastAsia" w:ascii="Times New Roman" w:hAnsi="Times New Roman" w:eastAsia="宋体" w:cs="Times New Roman"/>
                      <w:sz w:val="18"/>
                      <w:szCs w:val="18"/>
                    </w:rPr>
                    <w:t>心理健康教育专业本科学历得</w:t>
                  </w:r>
                  <w:r>
                    <w:rPr>
                      <w:rFonts w:ascii="Times New Roman" w:hAnsi="Times New Roman" w:eastAsia="宋体" w:cs="Times New Roman"/>
                      <w:sz w:val="18"/>
                      <w:szCs w:val="18"/>
                    </w:rPr>
                    <w:t>6</w:t>
                  </w:r>
                  <w:r>
                    <w:rPr>
                      <w:rFonts w:hint="eastAsia" w:ascii="Times New Roman" w:hAnsi="Times New Roman" w:eastAsia="宋体" w:cs="Times New Roman"/>
                      <w:sz w:val="18"/>
                      <w:szCs w:val="18"/>
                    </w:rPr>
                    <w:t>分，硕士学历的，得</w:t>
                  </w:r>
                  <w:r>
                    <w:rPr>
                      <w:rFonts w:ascii="Times New Roman" w:hAnsi="Times New Roman" w:eastAsia="宋体" w:cs="Times New Roman"/>
                      <w:sz w:val="18"/>
                      <w:szCs w:val="18"/>
                    </w:rPr>
                    <w:t>10</w:t>
                  </w:r>
                  <w:r>
                    <w:rPr>
                      <w:rFonts w:hint="eastAsia" w:ascii="Times New Roman" w:hAnsi="Times New Roman" w:eastAsia="宋体" w:cs="Times New Roman"/>
                      <w:sz w:val="18"/>
                      <w:szCs w:val="18"/>
                    </w:rPr>
                    <w:t>分。</w:t>
                  </w:r>
                </w:p>
                <w:p>
                  <w:pPr>
                    <w:spacing w:line="360" w:lineRule="exact"/>
                    <w:jc w:val="left"/>
                    <w:rPr>
                      <w:rFonts w:ascii="宋体" w:hAnsi="宋体" w:eastAsia="宋体" w:cs="宋体"/>
                      <w:sz w:val="18"/>
                      <w:szCs w:val="18"/>
                    </w:rPr>
                  </w:pPr>
                  <w:r>
                    <w:rPr>
                      <w:rFonts w:hint="eastAsia" w:ascii="Times New Roman" w:hAnsi="Times New Roman" w:eastAsia="宋体" w:cs="Times New Roman"/>
                      <w:sz w:val="18"/>
                      <w:szCs w:val="18"/>
                    </w:rPr>
                    <w:t>须提供毕业证书和学位证书并加盖公章，原件备查。不提供的不得分。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43" w:type="dxa"/>
                  <w:vAlign w:val="center"/>
                </w:tcPr>
                <w:p>
                  <w:pPr>
                    <w:spacing w:line="360" w:lineRule="exact"/>
                    <w:jc w:val="center"/>
                    <w:rPr>
                      <w:rFonts w:ascii="宋体" w:hAnsi="宋体" w:eastAsia="宋体" w:cs="宋体"/>
                      <w:sz w:val="18"/>
                      <w:szCs w:val="18"/>
                    </w:rPr>
                  </w:pPr>
                  <w:r>
                    <w:rPr>
                      <w:rFonts w:ascii="宋体" w:hAnsi="宋体" w:eastAsia="宋体" w:cs="宋体"/>
                      <w:sz w:val="18"/>
                      <w:szCs w:val="18"/>
                    </w:rPr>
                    <w:t>2</w:t>
                  </w:r>
                </w:p>
              </w:tc>
              <w:tc>
                <w:tcPr>
                  <w:tcW w:w="1243" w:type="dxa"/>
                  <w:vAlign w:val="center"/>
                </w:tcPr>
                <w:p>
                  <w:pPr>
                    <w:widowControl/>
                    <w:snapToGrid w:val="0"/>
                    <w:spacing w:line="360" w:lineRule="exact"/>
                    <w:jc w:val="center"/>
                    <w:rPr>
                      <w:rFonts w:ascii="宋体" w:hAnsi="宋体" w:eastAsia="宋体" w:cs="宋体"/>
                      <w:sz w:val="18"/>
                      <w:szCs w:val="18"/>
                    </w:rPr>
                  </w:pPr>
                  <w:r>
                    <w:rPr>
                      <w:rFonts w:hint="eastAsia" w:ascii="宋体" w:hAnsi="宋体" w:eastAsia="宋体" w:cs="宋体"/>
                      <w:sz w:val="18"/>
                      <w:szCs w:val="18"/>
                    </w:rPr>
                    <w:t>服务响应承诺</w:t>
                  </w:r>
                </w:p>
              </w:tc>
              <w:tc>
                <w:tcPr>
                  <w:tcW w:w="819" w:type="dxa"/>
                  <w:vAlign w:val="center"/>
                </w:tcPr>
                <w:p>
                  <w:pPr>
                    <w:widowControl/>
                    <w:snapToGrid w:val="0"/>
                    <w:spacing w:line="360" w:lineRule="exact"/>
                    <w:jc w:val="center"/>
                    <w:rPr>
                      <w:rFonts w:ascii="宋体" w:hAnsi="宋体" w:eastAsia="宋体" w:cs="宋体"/>
                      <w:sz w:val="18"/>
                      <w:szCs w:val="18"/>
                    </w:rPr>
                  </w:pPr>
                  <w:r>
                    <w:rPr>
                      <w:rFonts w:ascii="宋体" w:hAnsi="宋体" w:eastAsia="宋体" w:cs="宋体"/>
                      <w:sz w:val="18"/>
                      <w:szCs w:val="18"/>
                    </w:rPr>
                    <w:t>5</w:t>
                  </w:r>
                </w:p>
              </w:tc>
              <w:tc>
                <w:tcPr>
                  <w:tcW w:w="1165" w:type="dxa"/>
                  <w:vAlign w:val="center"/>
                </w:tcPr>
                <w:p>
                  <w:pPr>
                    <w:spacing w:line="360" w:lineRule="exact"/>
                    <w:jc w:val="center"/>
                    <w:rPr>
                      <w:rFonts w:ascii="宋体" w:hAnsi="宋体" w:eastAsia="宋体" w:cs="宋体"/>
                      <w:sz w:val="18"/>
                      <w:szCs w:val="18"/>
                    </w:rPr>
                  </w:pPr>
                  <w:r>
                    <w:rPr>
                      <w:rFonts w:hint="eastAsia" w:ascii="宋体" w:hAnsi="宋体" w:eastAsia="宋体" w:cs="宋体"/>
                      <w:sz w:val="18"/>
                      <w:szCs w:val="18"/>
                    </w:rPr>
                    <w:t>专家打分</w:t>
                  </w:r>
                </w:p>
              </w:tc>
              <w:tc>
                <w:tcPr>
                  <w:tcW w:w="3855" w:type="dxa"/>
                  <w:vAlign w:val="center"/>
                </w:tcPr>
                <w:p>
                  <w:pPr>
                    <w:spacing w:line="360" w:lineRule="exact"/>
                    <w:jc w:val="left"/>
                    <w:rPr>
                      <w:rFonts w:ascii="宋体" w:hAnsi="宋体" w:eastAsia="宋体" w:cs="宋体"/>
                      <w:sz w:val="18"/>
                      <w:szCs w:val="18"/>
                    </w:rPr>
                  </w:pPr>
                  <w:r>
                    <w:rPr>
                      <w:rFonts w:hint="eastAsia" w:ascii="宋体" w:hAnsi="宋体" w:eastAsia="宋体" w:cs="宋体"/>
                      <w:sz w:val="18"/>
                      <w:szCs w:val="18"/>
                    </w:rPr>
                    <w:t>投标人能为采购人提供便捷的服务，在采购人提出需求时，投标人能0.5小时内响应，1小时内到达现场，完全满足要求的得5分；响应时间能满足要求，到达时间不能满足要求的得2分；其余情况不得分。</w:t>
                  </w:r>
                </w:p>
                <w:p>
                  <w:pPr>
                    <w:spacing w:line="360" w:lineRule="exact"/>
                    <w:jc w:val="left"/>
                    <w:rPr>
                      <w:rFonts w:ascii="宋体" w:hAnsi="宋体" w:eastAsia="宋体" w:cs="宋体"/>
                      <w:sz w:val="18"/>
                      <w:szCs w:val="18"/>
                    </w:rPr>
                  </w:pPr>
                  <w:r>
                    <w:rPr>
                      <w:rFonts w:hint="eastAsia" w:ascii="宋体" w:hAnsi="宋体" w:eastAsia="宋体" w:cs="宋体"/>
                      <w:sz w:val="18"/>
                      <w:szCs w:val="18"/>
                    </w:rPr>
                    <w:t>投标人须提供承诺函，</w:t>
                  </w:r>
                  <w:r>
                    <w:rPr>
                      <w:rFonts w:hint="eastAsia" w:ascii="宋体" w:hAnsi="宋体" w:eastAsia="宋体" w:cs="宋体"/>
                      <w:kern w:val="0"/>
                      <w:sz w:val="18"/>
                      <w:szCs w:val="18"/>
                    </w:rPr>
                    <w:t>如若投标人承诺与实际情况不相符，将按照虚假投标的情况报相关主管部门处理。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43" w:type="dxa"/>
                  <w:vAlign w:val="center"/>
                </w:tcPr>
                <w:p>
                  <w:pPr>
                    <w:spacing w:line="360" w:lineRule="exact"/>
                    <w:jc w:val="center"/>
                    <w:rPr>
                      <w:rFonts w:ascii="宋体" w:hAnsi="宋体" w:eastAsia="宋体" w:cs="宋体"/>
                      <w:sz w:val="18"/>
                      <w:szCs w:val="18"/>
                    </w:rPr>
                  </w:pPr>
                  <w:r>
                    <w:rPr>
                      <w:rFonts w:ascii="宋体" w:hAnsi="宋体" w:eastAsia="宋体" w:cs="宋体"/>
                      <w:sz w:val="18"/>
                      <w:szCs w:val="18"/>
                    </w:rPr>
                    <w:t>3</w:t>
                  </w:r>
                </w:p>
              </w:tc>
              <w:tc>
                <w:tcPr>
                  <w:tcW w:w="1243" w:type="dxa"/>
                  <w:vAlign w:val="center"/>
                </w:tcPr>
                <w:p>
                  <w:pPr>
                    <w:widowControl/>
                    <w:snapToGrid w:val="0"/>
                    <w:spacing w:line="36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诚信</w:t>
                  </w:r>
                </w:p>
              </w:tc>
              <w:tc>
                <w:tcPr>
                  <w:tcW w:w="819" w:type="dxa"/>
                  <w:vAlign w:val="center"/>
                </w:tcPr>
                <w:p>
                  <w:pPr>
                    <w:widowControl/>
                    <w:snapToGrid w:val="0"/>
                    <w:spacing w:line="360" w:lineRule="exact"/>
                    <w:jc w:val="center"/>
                    <w:rPr>
                      <w:rFonts w:ascii="宋体" w:hAnsi="宋体" w:eastAsia="宋体" w:cs="宋体"/>
                      <w:kern w:val="0"/>
                      <w:sz w:val="18"/>
                      <w:szCs w:val="18"/>
                    </w:rPr>
                  </w:pPr>
                  <w:r>
                    <w:rPr>
                      <w:rFonts w:ascii="宋体" w:hAnsi="宋体" w:eastAsia="宋体" w:cs="宋体"/>
                      <w:kern w:val="0"/>
                      <w:sz w:val="18"/>
                      <w:szCs w:val="18"/>
                    </w:rPr>
                    <w:t>5</w:t>
                  </w:r>
                </w:p>
              </w:tc>
              <w:tc>
                <w:tcPr>
                  <w:tcW w:w="1165" w:type="dxa"/>
                  <w:vAlign w:val="center"/>
                </w:tcPr>
                <w:p>
                  <w:pPr>
                    <w:spacing w:line="360" w:lineRule="exact"/>
                    <w:jc w:val="center"/>
                    <w:rPr>
                      <w:rFonts w:ascii="宋体" w:hAnsi="宋体" w:eastAsia="宋体" w:cs="宋体"/>
                      <w:sz w:val="18"/>
                      <w:szCs w:val="18"/>
                    </w:rPr>
                  </w:pPr>
                  <w:r>
                    <w:rPr>
                      <w:rFonts w:hint="eastAsia" w:ascii="宋体" w:hAnsi="宋体" w:eastAsia="宋体" w:cs="宋体"/>
                      <w:sz w:val="18"/>
                      <w:szCs w:val="18"/>
                    </w:rPr>
                    <w:t>专家打分</w:t>
                  </w:r>
                </w:p>
              </w:tc>
              <w:tc>
                <w:tcPr>
                  <w:tcW w:w="3855" w:type="dxa"/>
                </w:tcPr>
                <w:p>
                  <w:pPr>
                    <w:spacing w:line="360" w:lineRule="exact"/>
                    <w:rPr>
                      <w:rFonts w:ascii="宋体" w:hAnsi="宋体" w:eastAsia="宋体" w:cs="宋体"/>
                      <w:kern w:val="0"/>
                      <w:sz w:val="18"/>
                      <w:szCs w:val="18"/>
                    </w:rPr>
                  </w:pPr>
                  <w:r>
                    <w:rPr>
                      <w:rFonts w:hint="eastAsia" w:ascii="宋体" w:hAnsi="宋体" w:eastAsia="宋体" w:cs="宋体"/>
                      <w:sz w:val="18"/>
                      <w:szCs w:val="18"/>
                    </w:rPr>
                    <w:t>投标人在参与政府采购活动中存在诚信相关问题且在主管部门相关处理措施实施期限内的，本项不得分，否则得满分。</w:t>
                  </w:r>
                </w:p>
                <w:p>
                  <w:pPr>
                    <w:spacing w:line="360" w:lineRule="exact"/>
                    <w:rPr>
                      <w:rFonts w:ascii="宋体" w:hAnsi="宋体" w:eastAsia="宋体" w:cs="宋体"/>
                      <w:kern w:val="0"/>
                      <w:sz w:val="18"/>
                      <w:szCs w:val="18"/>
                      <w:lang w:bidi="ar"/>
                    </w:rPr>
                  </w:pPr>
                  <w:r>
                    <w:rPr>
                      <w:rFonts w:hint="eastAsia" w:ascii="宋体" w:hAnsi="宋体" w:eastAsia="宋体" w:cs="宋体"/>
                      <w:kern w:val="0"/>
                      <w:sz w:val="18"/>
                      <w:szCs w:val="18"/>
                    </w:rPr>
                    <w:t>投标人必须提供《诚信承诺函》。如若投标人承诺与实际情况不相符，将按照虚假投标的情况报相关主管部门处理。</w:t>
                  </w:r>
                </w:p>
              </w:tc>
            </w:tr>
          </w:tbl>
          <w:p>
            <w:pPr>
              <w:rPr>
                <w:rFonts w:ascii="宋体" w:hAnsi="宋体" w:eastAsia="宋体" w:cs="宋体"/>
                <w:sz w:val="22"/>
                <w:szCs w:val="28"/>
              </w:rPr>
            </w:pPr>
            <w:r>
              <w:rPr>
                <w:rFonts w:hint="eastAsia" w:ascii="宋体" w:hAnsi="宋体" w:eastAsia="宋体" w:cs="宋体"/>
                <w:sz w:val="22"/>
                <w:szCs w:val="28"/>
              </w:rPr>
              <w:t>备注：</w:t>
            </w:r>
          </w:p>
          <w:p>
            <w:pPr>
              <w:rPr>
                <w:rFonts w:ascii="宋体" w:hAnsi="宋体" w:eastAsia="宋体" w:cs="宋体"/>
                <w:sz w:val="22"/>
                <w:szCs w:val="28"/>
              </w:rPr>
            </w:pPr>
            <w:r>
              <w:rPr>
                <w:rFonts w:hint="eastAsia" w:ascii="宋体" w:hAnsi="宋体" w:eastAsia="宋体" w:cs="宋体"/>
                <w:sz w:val="22"/>
                <w:szCs w:val="28"/>
              </w:rPr>
              <w:t>1.价格、技术、商务部分累加分为100分。</w:t>
            </w:r>
          </w:p>
          <w:p>
            <w:pPr>
              <w:spacing w:line="360" w:lineRule="auto"/>
              <w:rPr>
                <w:rFonts w:ascii="宋体" w:hAnsi="宋体" w:eastAsia="宋体" w:cs="宋体"/>
                <w:sz w:val="22"/>
              </w:rPr>
            </w:pPr>
            <w:r>
              <w:rPr>
                <w:rFonts w:hint="eastAsia" w:ascii="宋体" w:hAnsi="宋体" w:eastAsia="宋体" w:cs="宋体"/>
                <w:sz w:val="22"/>
                <w:szCs w:val="28"/>
              </w:rPr>
              <w:t>2.各投标人得分精确到小数点后两位。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9" w:type="dxa"/>
            <w:vAlign w:val="center"/>
          </w:tcPr>
          <w:p>
            <w:pPr>
              <w:spacing w:line="360" w:lineRule="auto"/>
              <w:rPr>
                <w:rFonts w:ascii="宋体" w:hAnsi="宋体" w:eastAsia="宋体" w:cs="宋体"/>
                <w:sz w:val="22"/>
              </w:rPr>
            </w:pPr>
            <w:r>
              <w:rPr>
                <w:rFonts w:hint="eastAsia" w:ascii="宋体" w:hAnsi="宋体" w:eastAsia="宋体" w:cs="宋体"/>
                <w:sz w:val="22"/>
              </w:rPr>
              <w:t>11</w:t>
            </w:r>
          </w:p>
        </w:tc>
        <w:tc>
          <w:tcPr>
            <w:tcW w:w="1134" w:type="dxa"/>
            <w:vAlign w:val="center"/>
          </w:tcPr>
          <w:p>
            <w:pPr>
              <w:spacing w:line="360" w:lineRule="auto"/>
              <w:jc w:val="center"/>
              <w:rPr>
                <w:rFonts w:ascii="宋体" w:hAnsi="宋体" w:eastAsia="宋体" w:cs="宋体"/>
                <w:sz w:val="22"/>
              </w:rPr>
            </w:pPr>
            <w:r>
              <w:rPr>
                <w:rFonts w:hint="eastAsia" w:ascii="宋体" w:hAnsi="宋体" w:eastAsia="宋体" w:cs="宋体"/>
                <w:sz w:val="22"/>
              </w:rPr>
              <w:t>投标文件其它格式</w:t>
            </w:r>
          </w:p>
        </w:tc>
        <w:tc>
          <w:tcPr>
            <w:tcW w:w="8312" w:type="dxa"/>
            <w:vAlign w:val="center"/>
          </w:tcPr>
          <w:p>
            <w:pPr>
              <w:adjustRightInd w:val="0"/>
              <w:snapToGrid w:val="0"/>
              <w:spacing w:line="360" w:lineRule="auto"/>
              <w:rPr>
                <w:rFonts w:ascii="宋体" w:hAnsi="宋体" w:eastAsia="宋体" w:cs="宋体"/>
                <w:sz w:val="22"/>
              </w:rPr>
            </w:pPr>
            <w:r>
              <w:rPr>
                <w:rFonts w:hint="eastAsia" w:ascii="宋体" w:hAnsi="宋体" w:eastAsia="宋体" w:cs="宋体"/>
                <w:sz w:val="22"/>
              </w:rPr>
              <w:t>1.投标文件格式应按招标文件要求编制。</w:t>
            </w:r>
          </w:p>
          <w:p>
            <w:pPr>
              <w:spacing w:line="360" w:lineRule="auto"/>
              <w:rPr>
                <w:rFonts w:ascii="宋体" w:hAnsi="宋体" w:eastAsia="宋体" w:cs="宋体"/>
                <w:sz w:val="22"/>
              </w:rPr>
            </w:pPr>
            <w:r>
              <w:rPr>
                <w:rFonts w:hint="eastAsia" w:ascii="宋体" w:hAnsi="宋体" w:eastAsia="宋体" w:cs="宋体"/>
                <w:sz w:val="22"/>
              </w:rPr>
              <w:t>2.投标文件的文字说明和文字标注均须采用中文。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09" w:type="dxa"/>
            <w:vAlign w:val="center"/>
          </w:tcPr>
          <w:p>
            <w:pPr>
              <w:spacing w:line="360" w:lineRule="auto"/>
              <w:rPr>
                <w:rFonts w:ascii="宋体" w:hAnsi="宋体" w:eastAsia="宋体" w:cs="宋体"/>
                <w:sz w:val="22"/>
              </w:rPr>
            </w:pPr>
            <w:r>
              <w:rPr>
                <w:rFonts w:hint="eastAsia" w:ascii="宋体" w:hAnsi="宋体" w:eastAsia="宋体" w:cs="宋体"/>
                <w:sz w:val="22"/>
              </w:rPr>
              <w:t>12</w:t>
            </w:r>
          </w:p>
        </w:tc>
        <w:tc>
          <w:tcPr>
            <w:tcW w:w="1134" w:type="dxa"/>
            <w:vAlign w:val="center"/>
          </w:tcPr>
          <w:p>
            <w:pPr>
              <w:spacing w:line="360" w:lineRule="auto"/>
              <w:jc w:val="center"/>
              <w:rPr>
                <w:rFonts w:ascii="宋体" w:hAnsi="宋体" w:eastAsia="宋体" w:cs="宋体"/>
                <w:sz w:val="22"/>
              </w:rPr>
            </w:pPr>
            <w:r>
              <w:rPr>
                <w:rFonts w:hint="eastAsia" w:ascii="宋体" w:hAnsi="宋体" w:eastAsia="宋体" w:cs="宋体"/>
                <w:sz w:val="22"/>
              </w:rPr>
              <w:t>投标文件份数</w:t>
            </w:r>
          </w:p>
        </w:tc>
        <w:tc>
          <w:tcPr>
            <w:tcW w:w="8312" w:type="dxa"/>
            <w:vAlign w:val="center"/>
          </w:tcPr>
          <w:p>
            <w:pPr>
              <w:jc w:val="left"/>
              <w:rPr>
                <w:rFonts w:ascii="宋体" w:hAnsi="宋体" w:eastAsia="宋体" w:cs="宋体"/>
                <w:sz w:val="22"/>
              </w:rPr>
            </w:pPr>
            <w:r>
              <w:rPr>
                <w:rFonts w:hint="eastAsia" w:ascii="宋体" w:hAnsi="宋体" w:eastAsia="宋体" w:cs="宋体"/>
                <w:sz w:val="22"/>
              </w:rPr>
              <w:t>正本1份、副本</w:t>
            </w:r>
            <w:r>
              <w:rPr>
                <w:rFonts w:ascii="宋体" w:hAnsi="宋体" w:eastAsia="宋体" w:cs="宋体"/>
                <w:sz w:val="22"/>
              </w:rPr>
              <w:t>2</w:t>
            </w:r>
            <w:r>
              <w:rPr>
                <w:rFonts w:hint="eastAsia" w:ascii="宋体" w:hAnsi="宋体" w:eastAsia="宋体" w:cs="宋体"/>
                <w:sz w:val="2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vAlign w:val="center"/>
          </w:tcPr>
          <w:p>
            <w:pPr>
              <w:spacing w:line="360" w:lineRule="auto"/>
              <w:rPr>
                <w:rFonts w:ascii="宋体" w:hAnsi="宋体" w:eastAsia="宋体" w:cs="宋体"/>
                <w:sz w:val="22"/>
              </w:rPr>
            </w:pPr>
            <w:r>
              <w:rPr>
                <w:rFonts w:hint="eastAsia" w:ascii="宋体" w:hAnsi="宋体" w:eastAsia="宋体" w:cs="宋体"/>
                <w:sz w:val="22"/>
              </w:rPr>
              <w:t>1</w:t>
            </w:r>
            <w:r>
              <w:rPr>
                <w:rFonts w:ascii="宋体" w:hAnsi="宋体" w:eastAsia="宋体" w:cs="宋体"/>
                <w:sz w:val="22"/>
              </w:rPr>
              <w:t>3</w:t>
            </w:r>
          </w:p>
        </w:tc>
        <w:tc>
          <w:tcPr>
            <w:tcW w:w="1134" w:type="dxa"/>
            <w:vAlign w:val="center"/>
          </w:tcPr>
          <w:p>
            <w:pPr>
              <w:spacing w:line="360" w:lineRule="auto"/>
              <w:jc w:val="center"/>
              <w:rPr>
                <w:rFonts w:ascii="宋体" w:hAnsi="宋体" w:eastAsia="宋体" w:cs="宋体"/>
                <w:sz w:val="22"/>
              </w:rPr>
            </w:pPr>
            <w:r>
              <w:rPr>
                <w:rFonts w:hint="eastAsia" w:ascii="宋体" w:hAnsi="宋体" w:eastAsia="宋体" w:cs="宋体"/>
                <w:sz w:val="22"/>
              </w:rPr>
              <w:t>材料设备采购</w:t>
            </w:r>
          </w:p>
        </w:tc>
        <w:tc>
          <w:tcPr>
            <w:tcW w:w="8312" w:type="dxa"/>
            <w:vAlign w:val="center"/>
          </w:tcPr>
          <w:p>
            <w:pPr>
              <w:spacing w:line="360" w:lineRule="auto"/>
              <w:rPr>
                <w:rFonts w:ascii="宋体" w:hAnsi="宋体" w:eastAsia="宋体" w:cs="宋体"/>
                <w:sz w:val="22"/>
              </w:rPr>
            </w:pPr>
            <w:r>
              <w:rPr>
                <w:rFonts w:hint="eastAsia" w:ascii="宋体" w:hAnsi="宋体" w:eastAsia="宋体" w:cs="宋体"/>
                <w:sz w:val="22"/>
              </w:rPr>
              <w:t>承包人提供材料设备：清洁工具、材料、清洁药品等符合相关国家标准，正常使用。其采购、运输、验收、检验、保管、使用</w:t>
            </w:r>
            <w:r>
              <w:rPr>
                <w:rFonts w:ascii="宋体" w:hAnsi="宋体" w:eastAsia="宋体" w:cs="宋体"/>
                <w:sz w:val="22"/>
              </w:rPr>
              <w:t>、</w:t>
            </w:r>
            <w:r>
              <w:rPr>
                <w:rFonts w:hint="eastAsia" w:ascii="宋体" w:hAnsi="宋体" w:eastAsia="宋体" w:cs="宋体"/>
                <w:sz w:val="22"/>
              </w:rPr>
              <w:t>损耗等费用由承包人负责。承包人进场的材料设备应自行保管和合理使用。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09" w:type="dxa"/>
            <w:vAlign w:val="center"/>
          </w:tcPr>
          <w:p>
            <w:pPr>
              <w:spacing w:line="360" w:lineRule="auto"/>
              <w:jc w:val="center"/>
              <w:rPr>
                <w:rFonts w:ascii="宋体" w:hAnsi="宋体" w:cs="宋体"/>
                <w:sz w:val="24"/>
              </w:rPr>
            </w:pPr>
            <w:r>
              <w:rPr>
                <w:rFonts w:hint="eastAsia" w:ascii="宋体" w:hAnsi="宋体" w:cs="宋体"/>
                <w:sz w:val="24"/>
              </w:rPr>
              <w:t>1</w:t>
            </w:r>
            <w:r>
              <w:rPr>
                <w:rFonts w:ascii="宋体" w:hAnsi="宋体" w:cs="宋体"/>
                <w:sz w:val="24"/>
              </w:rPr>
              <w:t>4</w:t>
            </w:r>
          </w:p>
        </w:tc>
        <w:tc>
          <w:tcPr>
            <w:tcW w:w="1134" w:type="dxa"/>
            <w:vAlign w:val="center"/>
          </w:tcPr>
          <w:p>
            <w:pPr>
              <w:spacing w:line="360" w:lineRule="auto"/>
              <w:jc w:val="center"/>
              <w:rPr>
                <w:rFonts w:ascii="宋体" w:hAnsi="宋体" w:eastAsia="宋体" w:cs="宋体"/>
                <w:sz w:val="22"/>
              </w:rPr>
            </w:pPr>
            <w:r>
              <w:rPr>
                <w:rFonts w:hint="eastAsia" w:ascii="宋体" w:hAnsi="宋体" w:eastAsia="宋体" w:cs="宋体"/>
                <w:sz w:val="22"/>
              </w:rPr>
              <w:t>报价及费用说明</w:t>
            </w:r>
          </w:p>
        </w:tc>
        <w:tc>
          <w:tcPr>
            <w:tcW w:w="8312" w:type="dxa"/>
            <w:vAlign w:val="center"/>
          </w:tcPr>
          <w:p>
            <w:pPr>
              <w:pStyle w:val="5"/>
              <w:tabs>
                <w:tab w:val="left" w:pos="574"/>
              </w:tabs>
              <w:spacing w:after="0" w:line="360" w:lineRule="auto"/>
              <w:rPr>
                <w:rFonts w:ascii="宋体" w:hAnsi="宋体" w:eastAsia="宋体" w:cs="宋体"/>
                <w:sz w:val="22"/>
                <w:szCs w:val="22"/>
              </w:rPr>
            </w:pPr>
            <w:r>
              <w:rPr>
                <w:rFonts w:hint="eastAsia" w:ascii="宋体" w:hAnsi="宋体" w:eastAsia="宋体" w:cs="宋体"/>
                <w:sz w:val="22"/>
                <w:szCs w:val="22"/>
              </w:rPr>
              <w:t>采用</w:t>
            </w:r>
            <w:r>
              <w:rPr>
                <w:rFonts w:ascii="宋体" w:hAnsi="宋体" w:eastAsia="宋体" w:cs="宋体"/>
                <w:sz w:val="22"/>
                <w:szCs w:val="22"/>
              </w:rPr>
              <w:t>固定包干</w:t>
            </w:r>
            <w:r>
              <w:rPr>
                <w:rFonts w:hint="eastAsia" w:ascii="宋体" w:hAnsi="宋体" w:eastAsia="宋体" w:cs="宋体"/>
                <w:sz w:val="22"/>
                <w:szCs w:val="22"/>
              </w:rPr>
              <w:t>总价报价</w:t>
            </w:r>
            <w:r>
              <w:rPr>
                <w:rFonts w:ascii="宋体" w:hAnsi="宋体" w:eastAsia="宋体" w:cs="宋体"/>
                <w:sz w:val="22"/>
                <w:szCs w:val="22"/>
              </w:rPr>
              <w:t>方式。</w:t>
            </w:r>
          </w:p>
          <w:p>
            <w:pPr>
              <w:pStyle w:val="5"/>
              <w:tabs>
                <w:tab w:val="left" w:pos="574"/>
              </w:tabs>
              <w:spacing w:after="0" w:line="360" w:lineRule="auto"/>
              <w:rPr>
                <w:rFonts w:ascii="宋体" w:hAnsi="宋体" w:eastAsia="宋体" w:cs="宋体"/>
                <w:sz w:val="22"/>
                <w:szCs w:val="22"/>
              </w:rPr>
            </w:pPr>
            <w:r>
              <w:rPr>
                <w:rFonts w:hint="eastAsia" w:ascii="宋体" w:hAnsi="宋体" w:eastAsia="宋体" w:cs="宋体"/>
                <w:sz w:val="22"/>
                <w:szCs w:val="22"/>
              </w:rPr>
              <w:t>1.中标人承诺的报价即为本工程所发生的所有费用（包括人工费、食宿</w:t>
            </w:r>
            <w:r>
              <w:rPr>
                <w:rFonts w:ascii="宋体" w:hAnsi="宋体" w:eastAsia="宋体" w:cs="宋体"/>
                <w:sz w:val="22"/>
                <w:szCs w:val="22"/>
              </w:rPr>
              <w:t>及交通费、</w:t>
            </w:r>
            <w:r>
              <w:rPr>
                <w:rFonts w:hint="eastAsia" w:ascii="宋体" w:hAnsi="宋体" w:eastAsia="宋体" w:cs="宋体"/>
                <w:sz w:val="22"/>
                <w:szCs w:val="22"/>
              </w:rPr>
              <w:t>工具费、物料费、设备使用及折旧费、垃圾处理费、管理费、措施、规费、利润、税金及保险等所有费用），招标人不再另行支付其他任何费用。</w:t>
            </w:r>
          </w:p>
          <w:p>
            <w:pPr>
              <w:spacing w:line="360" w:lineRule="auto"/>
              <w:rPr>
                <w:rFonts w:ascii="宋体" w:hAnsi="宋体" w:eastAsia="宋体" w:cs="宋体"/>
                <w:sz w:val="22"/>
              </w:rPr>
            </w:pPr>
            <w:r>
              <w:rPr>
                <w:rFonts w:hint="eastAsia" w:ascii="宋体" w:hAnsi="宋体" w:eastAsia="宋体" w:cs="宋体"/>
                <w:sz w:val="22"/>
              </w:rPr>
              <w:t>2.未中标单位招标人不支付任何费用。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709" w:type="dxa"/>
            <w:vAlign w:val="center"/>
          </w:tcPr>
          <w:p>
            <w:pPr>
              <w:spacing w:line="360" w:lineRule="auto"/>
              <w:rPr>
                <w:rFonts w:ascii="宋体" w:hAnsi="宋体" w:eastAsia="宋体" w:cs="宋体"/>
                <w:sz w:val="22"/>
              </w:rPr>
            </w:pPr>
            <w:r>
              <w:rPr>
                <w:rFonts w:ascii="宋体" w:hAnsi="宋体" w:eastAsia="宋体" w:cs="宋体"/>
                <w:sz w:val="22"/>
              </w:rPr>
              <w:t>15</w:t>
            </w:r>
          </w:p>
        </w:tc>
        <w:tc>
          <w:tcPr>
            <w:tcW w:w="1134" w:type="dxa"/>
            <w:vAlign w:val="center"/>
          </w:tcPr>
          <w:p>
            <w:pPr>
              <w:spacing w:line="360" w:lineRule="auto"/>
              <w:jc w:val="center"/>
              <w:rPr>
                <w:rFonts w:ascii="宋体" w:hAnsi="宋体" w:eastAsia="宋体" w:cs="宋体"/>
                <w:sz w:val="22"/>
              </w:rPr>
            </w:pPr>
            <w:r>
              <w:rPr>
                <w:rFonts w:hint="eastAsia" w:ascii="宋体" w:hAnsi="宋体" w:eastAsia="宋体" w:cs="宋体"/>
                <w:sz w:val="22"/>
              </w:rPr>
              <w:t>付款条件</w:t>
            </w:r>
          </w:p>
        </w:tc>
        <w:tc>
          <w:tcPr>
            <w:tcW w:w="8312" w:type="dxa"/>
            <w:vAlign w:val="center"/>
          </w:tcPr>
          <w:p>
            <w:pPr>
              <w:spacing w:line="360" w:lineRule="auto"/>
              <w:rPr>
                <w:rFonts w:ascii="宋体" w:hAnsi="宋体" w:eastAsia="宋体" w:cs="宋体"/>
                <w:sz w:val="22"/>
              </w:rPr>
            </w:pPr>
            <w:r>
              <w:rPr>
                <w:rFonts w:hint="eastAsia" w:ascii="宋体" w:hAnsi="宋体" w:eastAsia="宋体" w:cs="宋体"/>
                <w:sz w:val="22"/>
              </w:rPr>
              <w:t>乙方完成开荒清洁服务，经甲方验收合格并签署确认文件后30个工作日内，甲方向乙方支付全额开荒清洁服务费。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spacing w:line="360" w:lineRule="auto"/>
              <w:rPr>
                <w:rFonts w:ascii="宋体" w:hAnsi="宋体" w:eastAsia="宋体" w:cs="宋体"/>
                <w:sz w:val="22"/>
              </w:rPr>
            </w:pPr>
            <w:r>
              <w:rPr>
                <w:rFonts w:ascii="宋体" w:hAnsi="宋体" w:eastAsia="宋体" w:cs="宋体"/>
                <w:sz w:val="22"/>
              </w:rPr>
              <w:t>17</w:t>
            </w:r>
          </w:p>
        </w:tc>
        <w:tc>
          <w:tcPr>
            <w:tcW w:w="1134" w:type="dxa"/>
            <w:vAlign w:val="center"/>
          </w:tcPr>
          <w:p>
            <w:pPr>
              <w:spacing w:line="360" w:lineRule="auto"/>
              <w:jc w:val="center"/>
              <w:rPr>
                <w:rFonts w:ascii="宋体" w:hAnsi="宋体" w:eastAsia="宋体" w:cs="宋体"/>
                <w:sz w:val="22"/>
              </w:rPr>
            </w:pPr>
            <w:r>
              <w:rPr>
                <w:rFonts w:hint="eastAsia" w:ascii="宋体" w:hAnsi="宋体" w:eastAsia="宋体" w:cs="宋体"/>
                <w:sz w:val="22"/>
              </w:rPr>
              <w:t>结算方式</w:t>
            </w:r>
          </w:p>
        </w:tc>
        <w:tc>
          <w:tcPr>
            <w:tcW w:w="8312" w:type="dxa"/>
            <w:vAlign w:val="center"/>
          </w:tcPr>
          <w:p>
            <w:pPr>
              <w:pStyle w:val="5"/>
              <w:tabs>
                <w:tab w:val="left" w:pos="574"/>
              </w:tabs>
              <w:spacing w:line="276" w:lineRule="auto"/>
              <w:rPr>
                <w:rFonts w:ascii="宋体" w:hAnsi="宋体" w:eastAsia="宋体" w:cs="宋体"/>
                <w:sz w:val="22"/>
                <w:szCs w:val="22"/>
              </w:rPr>
            </w:pPr>
            <w:r>
              <w:rPr>
                <w:rFonts w:hint="eastAsia" w:ascii="宋体" w:hAnsi="宋体" w:eastAsia="宋体" w:cs="宋体"/>
                <w:sz w:val="22"/>
                <w:szCs w:val="22"/>
              </w:rPr>
              <w:t>采用全费用综合包干总价进行结算。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8" w:hRule="atLeast"/>
          <w:jc w:val="center"/>
        </w:trPr>
        <w:tc>
          <w:tcPr>
            <w:tcW w:w="709" w:type="dxa"/>
            <w:vAlign w:val="center"/>
          </w:tcPr>
          <w:p>
            <w:pPr>
              <w:pStyle w:val="5"/>
              <w:tabs>
                <w:tab w:val="left" w:pos="574"/>
              </w:tabs>
              <w:spacing w:line="276" w:lineRule="auto"/>
              <w:rPr>
                <w:rFonts w:ascii="宋体" w:hAnsi="宋体" w:eastAsia="宋体" w:cs="宋体"/>
                <w:sz w:val="22"/>
              </w:rPr>
            </w:pPr>
            <w:r>
              <w:rPr>
                <w:rFonts w:ascii="宋体" w:hAnsi="宋体" w:eastAsia="宋体" w:cs="宋体"/>
                <w:sz w:val="22"/>
              </w:rPr>
              <w:t>18</w:t>
            </w:r>
          </w:p>
        </w:tc>
        <w:tc>
          <w:tcPr>
            <w:tcW w:w="1134" w:type="dxa"/>
            <w:vAlign w:val="center"/>
          </w:tcPr>
          <w:p>
            <w:pPr>
              <w:pStyle w:val="5"/>
              <w:tabs>
                <w:tab w:val="left" w:pos="574"/>
              </w:tabs>
              <w:spacing w:line="276" w:lineRule="auto"/>
              <w:jc w:val="center"/>
              <w:rPr>
                <w:rFonts w:ascii="宋体" w:hAnsi="宋体" w:eastAsia="宋体" w:cs="宋体"/>
                <w:sz w:val="22"/>
              </w:rPr>
            </w:pPr>
            <w:r>
              <w:rPr>
                <w:rFonts w:hint="eastAsia" w:ascii="宋体" w:hAnsi="宋体" w:eastAsia="宋体" w:cs="宋体"/>
                <w:sz w:val="22"/>
              </w:rPr>
              <w:t>投标文件的递交</w:t>
            </w:r>
          </w:p>
        </w:tc>
        <w:tc>
          <w:tcPr>
            <w:tcW w:w="8312" w:type="dxa"/>
            <w:vAlign w:val="center"/>
          </w:tcPr>
          <w:p>
            <w:pPr>
              <w:pStyle w:val="5"/>
              <w:tabs>
                <w:tab w:val="left" w:pos="574"/>
              </w:tabs>
              <w:spacing w:line="276" w:lineRule="auto"/>
              <w:rPr>
                <w:rFonts w:ascii="宋体" w:hAnsi="宋体" w:eastAsia="宋体" w:cs="宋体"/>
                <w:sz w:val="22"/>
              </w:rPr>
            </w:pPr>
            <w:bookmarkStart w:id="0" w:name="_Toc73521659"/>
            <w:bookmarkStart w:id="1" w:name="_Toc100052388"/>
            <w:bookmarkStart w:id="2" w:name="_Toc60560649"/>
            <w:bookmarkStart w:id="3" w:name="_Toc73518141"/>
            <w:bookmarkStart w:id="4" w:name="_Toc60631644"/>
            <w:bookmarkStart w:id="5" w:name="_Toc73517663"/>
            <w:bookmarkStart w:id="6" w:name="_Toc73521571"/>
            <w:r>
              <w:rPr>
                <w:rFonts w:hint="eastAsia" w:ascii="宋体" w:hAnsi="宋体" w:eastAsia="宋体" w:cs="宋体"/>
                <w:sz w:val="22"/>
              </w:rPr>
              <w:t>1</w:t>
            </w:r>
            <w:r>
              <w:rPr>
                <w:rFonts w:ascii="宋体" w:hAnsi="宋体" w:eastAsia="宋体" w:cs="宋体"/>
                <w:sz w:val="22"/>
              </w:rPr>
              <w:t>.</w:t>
            </w:r>
            <w:r>
              <w:rPr>
                <w:rFonts w:hint="eastAsia" w:ascii="宋体" w:hAnsi="宋体" w:eastAsia="宋体" w:cs="宋体"/>
                <w:sz w:val="22"/>
              </w:rPr>
              <w:t>投标文件密封和标记</w:t>
            </w:r>
          </w:p>
          <w:p>
            <w:pPr>
              <w:pStyle w:val="5"/>
              <w:tabs>
                <w:tab w:val="left" w:pos="574"/>
              </w:tabs>
              <w:spacing w:line="276" w:lineRule="auto"/>
              <w:rPr>
                <w:rFonts w:ascii="宋体" w:hAnsi="宋体" w:eastAsia="宋体" w:cs="宋体"/>
                <w:sz w:val="22"/>
              </w:rPr>
            </w:pPr>
            <w:r>
              <w:rPr>
                <w:rFonts w:hint="eastAsia" w:ascii="宋体" w:hAnsi="宋体" w:eastAsia="宋体" w:cs="宋体"/>
                <w:sz w:val="22"/>
              </w:rPr>
              <w:t>1</w:t>
            </w:r>
            <w:r>
              <w:rPr>
                <w:rFonts w:ascii="宋体" w:hAnsi="宋体" w:eastAsia="宋体" w:cs="宋体"/>
                <w:sz w:val="22"/>
              </w:rPr>
              <w:t>.1</w:t>
            </w:r>
            <w:r>
              <w:rPr>
                <w:rFonts w:hint="eastAsia" w:ascii="宋体" w:hAnsi="宋体" w:eastAsia="宋体" w:cs="宋体"/>
                <w:sz w:val="22"/>
              </w:rPr>
              <w:t>投标文件正本和副本、附有投标文件，并标明项目名称及“正本”或“副本”，投标文件（含正本和副本）应密封包装。</w:t>
            </w:r>
          </w:p>
          <w:p>
            <w:pPr>
              <w:pStyle w:val="5"/>
              <w:tabs>
                <w:tab w:val="left" w:pos="574"/>
              </w:tabs>
              <w:spacing w:line="276" w:lineRule="auto"/>
              <w:rPr>
                <w:rFonts w:ascii="宋体" w:hAnsi="宋体" w:eastAsia="宋体" w:cs="宋体"/>
                <w:sz w:val="22"/>
              </w:rPr>
            </w:pPr>
            <w:r>
              <w:rPr>
                <w:rFonts w:ascii="宋体" w:hAnsi="宋体" w:eastAsia="宋体" w:cs="宋体"/>
                <w:sz w:val="22"/>
              </w:rPr>
              <w:t>1.2</w:t>
            </w:r>
            <w:r>
              <w:rPr>
                <w:rFonts w:hint="eastAsia" w:ascii="宋体" w:hAnsi="宋体" w:eastAsia="宋体" w:cs="宋体"/>
                <w:sz w:val="22"/>
              </w:rPr>
              <w:t>投标人应将开标一览表和授权委托书单独密封提交，并在信封上标明“投标文件”字样。投标人的法定代表人参加投标时，须开具法定代表人证明书。</w:t>
            </w:r>
          </w:p>
          <w:p>
            <w:pPr>
              <w:pStyle w:val="5"/>
              <w:tabs>
                <w:tab w:val="left" w:pos="574"/>
              </w:tabs>
              <w:spacing w:line="276" w:lineRule="auto"/>
              <w:rPr>
                <w:rFonts w:ascii="宋体" w:hAnsi="宋体" w:eastAsia="宋体" w:cs="宋体"/>
                <w:sz w:val="22"/>
              </w:rPr>
            </w:pPr>
            <w:r>
              <w:rPr>
                <w:rFonts w:hint="eastAsia" w:ascii="宋体" w:hAnsi="宋体" w:eastAsia="宋体" w:cs="宋体"/>
                <w:sz w:val="22"/>
              </w:rPr>
              <w:t>1</w:t>
            </w:r>
            <w:r>
              <w:rPr>
                <w:rFonts w:ascii="宋体" w:hAnsi="宋体" w:eastAsia="宋体" w:cs="宋体"/>
                <w:sz w:val="22"/>
              </w:rPr>
              <w:t>.3</w:t>
            </w:r>
            <w:r>
              <w:rPr>
                <w:rFonts w:hint="eastAsia" w:ascii="宋体" w:hAnsi="宋体" w:eastAsia="宋体" w:cs="宋体"/>
                <w:sz w:val="22"/>
              </w:rPr>
              <w:t>密封包装上注明“在（开标日期、时间）前不得启封”的字样。</w:t>
            </w:r>
          </w:p>
          <w:p>
            <w:pPr>
              <w:pStyle w:val="5"/>
              <w:tabs>
                <w:tab w:val="left" w:pos="574"/>
              </w:tabs>
              <w:spacing w:line="276" w:lineRule="auto"/>
              <w:rPr>
                <w:rFonts w:ascii="宋体" w:hAnsi="宋体" w:eastAsia="宋体" w:cs="宋体"/>
                <w:sz w:val="22"/>
              </w:rPr>
            </w:pPr>
            <w:r>
              <w:rPr>
                <w:rFonts w:hint="eastAsia" w:ascii="宋体" w:hAnsi="宋体" w:eastAsia="宋体" w:cs="宋体"/>
                <w:sz w:val="22"/>
              </w:rPr>
              <w:t>2</w:t>
            </w:r>
            <w:r>
              <w:rPr>
                <w:rFonts w:ascii="宋体" w:hAnsi="宋体" w:eastAsia="宋体" w:cs="宋体"/>
                <w:sz w:val="22"/>
              </w:rPr>
              <w:t>.</w:t>
            </w:r>
            <w:r>
              <w:rPr>
                <w:rFonts w:hint="eastAsia" w:ascii="宋体" w:hAnsi="宋体" w:eastAsia="宋体" w:cs="宋体"/>
                <w:sz w:val="22"/>
              </w:rPr>
              <w:t>投标截止日期</w:t>
            </w:r>
          </w:p>
          <w:p>
            <w:pPr>
              <w:pStyle w:val="5"/>
              <w:tabs>
                <w:tab w:val="left" w:pos="574"/>
              </w:tabs>
              <w:spacing w:line="276" w:lineRule="auto"/>
              <w:rPr>
                <w:rFonts w:ascii="宋体" w:hAnsi="宋体" w:eastAsia="宋体" w:cs="宋体"/>
                <w:sz w:val="22"/>
              </w:rPr>
            </w:pPr>
            <w:r>
              <w:rPr>
                <w:rFonts w:hint="eastAsia" w:ascii="宋体" w:hAnsi="宋体" w:eastAsia="宋体" w:cs="宋体"/>
                <w:sz w:val="22"/>
              </w:rPr>
              <w:t>2</w:t>
            </w:r>
            <w:r>
              <w:rPr>
                <w:rFonts w:ascii="宋体" w:hAnsi="宋体" w:eastAsia="宋体" w:cs="宋体"/>
                <w:sz w:val="22"/>
              </w:rPr>
              <w:t>.1</w:t>
            </w:r>
            <w:r>
              <w:rPr>
                <w:rFonts w:hint="eastAsia" w:ascii="宋体" w:hAnsi="宋体" w:eastAsia="宋体" w:cs="宋体"/>
                <w:sz w:val="22"/>
              </w:rPr>
              <w:t>投标人应在不迟于采购公告规定的截止日期和时间将投标文件递交至采购人。</w:t>
            </w:r>
          </w:p>
          <w:p>
            <w:pPr>
              <w:pStyle w:val="5"/>
              <w:tabs>
                <w:tab w:val="left" w:pos="574"/>
              </w:tabs>
              <w:spacing w:line="276" w:lineRule="auto"/>
              <w:rPr>
                <w:rFonts w:ascii="宋体" w:hAnsi="宋体" w:eastAsia="宋体" w:cs="宋体"/>
                <w:sz w:val="22"/>
              </w:rPr>
            </w:pPr>
            <w:r>
              <w:rPr>
                <w:rFonts w:ascii="宋体" w:hAnsi="宋体" w:eastAsia="宋体" w:cs="宋体"/>
                <w:sz w:val="22"/>
              </w:rPr>
              <w:t>2.2</w:t>
            </w:r>
            <w:r>
              <w:rPr>
                <w:rFonts w:hint="eastAsia" w:ascii="宋体" w:hAnsi="宋体" w:eastAsia="宋体" w:cs="宋体"/>
                <w:sz w:val="22"/>
              </w:rPr>
              <w:t>采购人可以通过修改采购文件自行决定酌情推迟投标截止期，在此情况下，采购人和投标人受投标截止期制约的所有权利和义务均应延长至新的截止期。</w:t>
            </w:r>
          </w:p>
          <w:p>
            <w:pPr>
              <w:pStyle w:val="5"/>
              <w:tabs>
                <w:tab w:val="left" w:pos="574"/>
              </w:tabs>
              <w:spacing w:line="276" w:lineRule="auto"/>
              <w:rPr>
                <w:rFonts w:ascii="宋体" w:hAnsi="宋体" w:eastAsia="宋体" w:cs="宋体"/>
                <w:sz w:val="22"/>
              </w:rPr>
            </w:pPr>
            <w:r>
              <w:rPr>
                <w:rFonts w:hint="eastAsia" w:ascii="宋体" w:hAnsi="宋体" w:eastAsia="宋体" w:cs="宋体"/>
                <w:sz w:val="22"/>
              </w:rPr>
              <w:t>3</w:t>
            </w:r>
            <w:r>
              <w:rPr>
                <w:rFonts w:ascii="宋体" w:hAnsi="宋体" w:eastAsia="宋体" w:cs="宋体"/>
                <w:sz w:val="22"/>
              </w:rPr>
              <w:t>.</w:t>
            </w:r>
            <w:r>
              <w:rPr>
                <w:rFonts w:hint="eastAsia" w:ascii="宋体" w:hAnsi="宋体" w:eastAsia="宋体" w:cs="宋体"/>
                <w:sz w:val="22"/>
              </w:rPr>
              <w:t>投标文件的修改和撤销</w:t>
            </w:r>
          </w:p>
          <w:p>
            <w:pPr>
              <w:pStyle w:val="5"/>
              <w:tabs>
                <w:tab w:val="left" w:pos="574"/>
              </w:tabs>
              <w:spacing w:line="276" w:lineRule="auto"/>
              <w:rPr>
                <w:rFonts w:ascii="宋体" w:hAnsi="宋体" w:eastAsia="宋体" w:cs="宋体"/>
                <w:sz w:val="22"/>
              </w:rPr>
            </w:pPr>
            <w:r>
              <w:rPr>
                <w:rFonts w:hint="eastAsia" w:ascii="宋体" w:hAnsi="宋体" w:eastAsia="宋体" w:cs="宋体"/>
                <w:sz w:val="22"/>
              </w:rPr>
              <w:t>投标方在提交投标文件后可对其投标文件进行修改并重新提交投标文件或撤销投标。</w:t>
            </w:r>
          </w:p>
          <w:p>
            <w:pPr>
              <w:pStyle w:val="5"/>
              <w:tabs>
                <w:tab w:val="left" w:pos="574"/>
              </w:tabs>
              <w:spacing w:line="276" w:lineRule="auto"/>
              <w:rPr>
                <w:rFonts w:ascii="宋体" w:hAnsi="宋体" w:eastAsia="宋体" w:cs="宋体"/>
                <w:sz w:val="22"/>
              </w:rPr>
            </w:pPr>
            <w:r>
              <w:rPr>
                <w:rFonts w:hint="eastAsia" w:ascii="宋体" w:hAnsi="宋体" w:eastAsia="宋体" w:cs="宋体"/>
                <w:sz w:val="22"/>
              </w:rPr>
              <w:t>投标截止时间以后不得修改投标文件。</w:t>
            </w:r>
          </w:p>
          <w:p>
            <w:pPr>
              <w:pStyle w:val="5"/>
              <w:tabs>
                <w:tab w:val="left" w:pos="574"/>
              </w:tabs>
              <w:spacing w:line="276" w:lineRule="auto"/>
              <w:rPr>
                <w:rFonts w:ascii="宋体" w:hAnsi="宋体" w:eastAsia="宋体" w:cs="宋体"/>
                <w:sz w:val="22"/>
              </w:rPr>
            </w:pPr>
            <w:r>
              <w:rPr>
                <w:rFonts w:hint="eastAsia" w:ascii="宋体" w:hAnsi="宋体" w:eastAsia="宋体" w:cs="宋体"/>
                <w:sz w:val="22"/>
              </w:rPr>
              <w:t>从投标截止期至投标人在投标书中确定的投标有效期之间的这段时间内，投标人不得撤回其投标，否则其投标保证金将按照本通用条款的规定被没收。</w:t>
            </w:r>
            <w:bookmarkEnd w:id="0"/>
            <w:bookmarkEnd w:id="1"/>
            <w:bookmarkEnd w:id="2"/>
            <w:bookmarkEnd w:id="3"/>
            <w:bookmarkEnd w:id="4"/>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9" w:type="dxa"/>
            <w:vAlign w:val="center"/>
          </w:tcPr>
          <w:p>
            <w:pPr>
              <w:pStyle w:val="5"/>
              <w:tabs>
                <w:tab w:val="left" w:pos="574"/>
              </w:tabs>
              <w:spacing w:line="276" w:lineRule="auto"/>
              <w:rPr>
                <w:rFonts w:ascii="宋体" w:hAnsi="宋体" w:eastAsia="宋体" w:cs="宋体"/>
                <w:sz w:val="22"/>
              </w:rPr>
            </w:pPr>
            <w:r>
              <w:rPr>
                <w:rFonts w:ascii="宋体" w:hAnsi="宋体" w:eastAsia="宋体" w:cs="宋体"/>
                <w:sz w:val="22"/>
              </w:rPr>
              <w:t>19</w:t>
            </w:r>
          </w:p>
        </w:tc>
        <w:tc>
          <w:tcPr>
            <w:tcW w:w="1134" w:type="dxa"/>
            <w:vAlign w:val="center"/>
          </w:tcPr>
          <w:p>
            <w:pPr>
              <w:pStyle w:val="5"/>
              <w:tabs>
                <w:tab w:val="left" w:pos="574"/>
              </w:tabs>
              <w:spacing w:line="276" w:lineRule="auto"/>
              <w:jc w:val="center"/>
              <w:rPr>
                <w:rFonts w:ascii="宋体" w:hAnsi="宋体" w:eastAsia="宋体" w:cs="宋体"/>
                <w:sz w:val="22"/>
              </w:rPr>
            </w:pPr>
            <w:r>
              <w:rPr>
                <w:rFonts w:hint="eastAsia" w:ascii="宋体" w:hAnsi="宋体" w:eastAsia="宋体" w:cs="宋体"/>
                <w:sz w:val="22"/>
              </w:rPr>
              <w:t>开标</w:t>
            </w:r>
          </w:p>
        </w:tc>
        <w:tc>
          <w:tcPr>
            <w:tcW w:w="8312" w:type="dxa"/>
            <w:vAlign w:val="center"/>
          </w:tcPr>
          <w:p>
            <w:pPr>
              <w:pStyle w:val="5"/>
              <w:spacing w:line="276" w:lineRule="auto"/>
              <w:rPr>
                <w:rFonts w:ascii="宋体" w:hAnsi="宋体" w:eastAsia="宋体" w:cs="宋体"/>
                <w:sz w:val="22"/>
              </w:rPr>
            </w:pPr>
            <w:r>
              <w:rPr>
                <w:rFonts w:ascii="宋体" w:hAnsi="宋体" w:eastAsia="宋体" w:cs="宋体"/>
                <w:sz w:val="22"/>
              </w:rPr>
              <w:t>1.采购人按采购公告规定的日期、时间和地点组织公开开标。投标人应派代表参加，参加开标的投标人代表签名报到以证明其出席。</w:t>
            </w:r>
          </w:p>
          <w:p>
            <w:pPr>
              <w:pStyle w:val="5"/>
              <w:spacing w:line="276" w:lineRule="auto"/>
              <w:rPr>
                <w:rFonts w:ascii="宋体" w:hAnsi="宋体" w:eastAsia="宋体" w:cs="宋体"/>
                <w:sz w:val="22"/>
              </w:rPr>
            </w:pPr>
            <w:r>
              <w:rPr>
                <w:rFonts w:ascii="宋体" w:hAnsi="宋体" w:eastAsia="宋体" w:cs="宋体"/>
                <w:sz w:val="22"/>
              </w:rPr>
              <w:t>2.开标时，采购人当众宣读投标人名称、修改和撤回的通知等内容。</w:t>
            </w:r>
          </w:p>
          <w:p>
            <w:pPr>
              <w:pStyle w:val="5"/>
              <w:spacing w:line="276" w:lineRule="auto"/>
              <w:rPr>
                <w:rFonts w:ascii="宋体" w:hAnsi="宋体" w:eastAsia="宋体" w:cs="宋体"/>
                <w:sz w:val="22"/>
              </w:rPr>
            </w:pPr>
            <w:r>
              <w:rPr>
                <w:rFonts w:ascii="宋体" w:hAnsi="宋体" w:eastAsia="宋体" w:cs="宋体"/>
                <w:sz w:val="22"/>
              </w:rPr>
              <w:t>3.除了按照规定原封退回迟到的投标之外，开标时不得拒绝任何已报名购买采购文件的投标人的投标。</w:t>
            </w:r>
          </w:p>
          <w:p>
            <w:pPr>
              <w:pStyle w:val="5"/>
              <w:spacing w:line="276" w:lineRule="auto"/>
              <w:rPr>
                <w:rFonts w:ascii="宋体" w:hAnsi="宋体" w:eastAsia="宋体" w:cs="宋体"/>
                <w:sz w:val="22"/>
              </w:rPr>
            </w:pPr>
            <w:r>
              <w:rPr>
                <w:rFonts w:ascii="宋体" w:hAnsi="宋体" w:eastAsia="宋体" w:cs="宋体"/>
                <w:sz w:val="22"/>
              </w:rPr>
              <w:t>4.开标时没有启封和读出的投标文件，在评标时将不予考虑。没有启封和读出的投标文件将原封退回给投标人。</w:t>
            </w:r>
          </w:p>
          <w:p>
            <w:pPr>
              <w:pStyle w:val="5"/>
              <w:spacing w:line="276" w:lineRule="auto"/>
              <w:rPr>
                <w:rFonts w:ascii="宋体" w:hAnsi="宋体" w:eastAsia="宋体" w:cs="宋体"/>
                <w:sz w:val="22"/>
              </w:rPr>
            </w:pPr>
            <w:r>
              <w:rPr>
                <w:rFonts w:ascii="宋体" w:hAnsi="宋体" w:eastAsia="宋体" w:cs="宋体"/>
                <w:sz w:val="22"/>
              </w:rPr>
              <w:t>5.投标人对开标有异议的，应当在开标现场提出。采购代理机构将做开标记录，并要求出席有关人员签字确认。</w:t>
            </w:r>
          </w:p>
          <w:p>
            <w:pPr>
              <w:pStyle w:val="5"/>
              <w:spacing w:line="276" w:lineRule="auto"/>
              <w:rPr>
                <w:rFonts w:ascii="宋体" w:hAnsi="宋体" w:eastAsia="宋体" w:cs="宋体"/>
                <w:sz w:val="22"/>
              </w:rPr>
            </w:pPr>
            <w:r>
              <w:rPr>
                <w:rFonts w:ascii="宋体" w:hAnsi="宋体" w:eastAsia="宋体" w:cs="宋体"/>
                <w:sz w:val="22"/>
              </w:rPr>
              <w:t>6.公开招标采购项目开标结束后，采购人应当依法对投标人的资格进行审查。资格性检查：依据法律法规和采购文件的规定，对投标文件中的资格证明、投标保证金等进行审查，以确定投标供应商是否具备投标资格。</w:t>
            </w:r>
          </w:p>
          <w:p>
            <w:pPr>
              <w:pStyle w:val="5"/>
              <w:spacing w:line="276" w:lineRule="auto"/>
              <w:rPr>
                <w:rFonts w:ascii="宋体" w:hAnsi="宋体" w:eastAsia="宋体" w:cs="宋体"/>
                <w:sz w:val="22"/>
              </w:rPr>
            </w:pPr>
            <w:r>
              <w:rPr>
                <w:rFonts w:ascii="宋体" w:hAnsi="宋体" w:eastAsia="宋体" w:cs="宋体"/>
                <w:sz w:val="22"/>
              </w:rPr>
              <w:t>7.合格投标人不足3家的，不得评标。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pStyle w:val="5"/>
              <w:spacing w:line="276" w:lineRule="auto"/>
              <w:rPr>
                <w:rFonts w:ascii="宋体" w:hAnsi="宋体" w:eastAsia="宋体" w:cs="宋体"/>
                <w:sz w:val="22"/>
              </w:rPr>
            </w:pPr>
            <w:r>
              <w:rPr>
                <w:rFonts w:ascii="宋体" w:hAnsi="宋体" w:eastAsia="宋体" w:cs="宋体"/>
                <w:sz w:val="22"/>
              </w:rPr>
              <w:t>20</w:t>
            </w:r>
          </w:p>
        </w:tc>
        <w:tc>
          <w:tcPr>
            <w:tcW w:w="1134" w:type="dxa"/>
            <w:vAlign w:val="center"/>
          </w:tcPr>
          <w:p>
            <w:pPr>
              <w:pStyle w:val="5"/>
              <w:spacing w:line="276" w:lineRule="auto"/>
              <w:jc w:val="center"/>
              <w:rPr>
                <w:rFonts w:ascii="宋体" w:hAnsi="宋体" w:eastAsia="宋体" w:cs="宋体"/>
                <w:sz w:val="22"/>
              </w:rPr>
            </w:pPr>
            <w:r>
              <w:rPr>
                <w:rFonts w:hint="eastAsia" w:ascii="宋体" w:hAnsi="宋体" w:eastAsia="宋体" w:cs="宋体"/>
                <w:sz w:val="22"/>
              </w:rPr>
              <w:t>定标及公示</w:t>
            </w:r>
          </w:p>
        </w:tc>
        <w:tc>
          <w:tcPr>
            <w:tcW w:w="8312" w:type="dxa"/>
            <w:vAlign w:val="center"/>
          </w:tcPr>
          <w:p>
            <w:pPr>
              <w:pStyle w:val="5"/>
              <w:spacing w:line="276" w:lineRule="auto"/>
              <w:rPr>
                <w:rFonts w:ascii="宋体" w:hAnsi="宋体" w:eastAsia="宋体" w:cs="宋体"/>
                <w:sz w:val="22"/>
              </w:rPr>
            </w:pPr>
            <w:r>
              <w:rPr>
                <w:rFonts w:ascii="宋体" w:hAnsi="宋体" w:eastAsia="宋体" w:cs="宋体"/>
                <w:sz w:val="22"/>
              </w:rPr>
              <w:t>1.定标方法</w:t>
            </w:r>
          </w:p>
          <w:p>
            <w:pPr>
              <w:pStyle w:val="5"/>
              <w:spacing w:line="276" w:lineRule="auto"/>
              <w:rPr>
                <w:rFonts w:ascii="宋体" w:hAnsi="宋体" w:eastAsia="宋体" w:cs="宋体"/>
                <w:sz w:val="22"/>
              </w:rPr>
            </w:pPr>
            <w:r>
              <w:rPr>
                <w:rFonts w:ascii="宋体" w:hAnsi="宋体" w:eastAsia="宋体" w:cs="宋体"/>
                <w:sz w:val="22"/>
              </w:rPr>
              <w:t>1.1.评审委员会依据本项目采购文件所需求的进行评审和比较，并根据评标方法比较评价结果从优到劣进行排序，并推荐中标候选人或确定中标供应商；</w:t>
            </w:r>
          </w:p>
          <w:p>
            <w:pPr>
              <w:pStyle w:val="5"/>
              <w:spacing w:line="276" w:lineRule="auto"/>
              <w:rPr>
                <w:rFonts w:ascii="宋体" w:hAnsi="宋体" w:eastAsia="宋体" w:cs="宋体"/>
                <w:sz w:val="22"/>
              </w:rPr>
            </w:pPr>
            <w:r>
              <w:rPr>
                <w:rFonts w:ascii="宋体" w:hAnsi="宋体" w:eastAsia="宋体" w:cs="宋体"/>
                <w:sz w:val="22"/>
              </w:rPr>
              <w:t>1.2.采用最低评标价法的，按投标报价由低到高顺序排列，投标报价相同的，按技术指标优劣顺序排列。评审委员会认为，排在前面的供应商的最低投标报价或者某些分项报价明显不合理或者低于成本，有可能影响商品质量和不能诚信履约的，应当要求其在规定的期限内提供书面文件予以解释说明，并提交相关证明材料；否则，评审委员会可以取消该投标供应商的中标资格，按顺序由排在后面的供应商递补，以此类推。对是否满足实质性要求或报价是否合理或是否低于成本，评委会意见不一致时，按少数服从多数原则作出决定。</w:t>
            </w:r>
          </w:p>
          <w:p>
            <w:pPr>
              <w:pStyle w:val="5"/>
              <w:spacing w:line="276" w:lineRule="auto"/>
              <w:rPr>
                <w:rFonts w:ascii="宋体" w:hAnsi="宋体" w:eastAsia="宋体" w:cs="宋体"/>
                <w:sz w:val="22"/>
              </w:rPr>
            </w:pPr>
            <w:r>
              <w:rPr>
                <w:rFonts w:ascii="宋体" w:hAnsi="宋体" w:eastAsia="宋体" w:cs="宋体"/>
                <w:sz w:val="22"/>
              </w:rPr>
              <w:t>1.3.采用综合评分法的，按评审后得分由高到低顺序排列。得分相同的，按投标报价由低到高顺序排列。得分且投标报价相同的，按技术指标优劣顺序排列。</w:t>
            </w:r>
          </w:p>
          <w:p>
            <w:pPr>
              <w:pStyle w:val="5"/>
              <w:spacing w:line="276" w:lineRule="auto"/>
              <w:rPr>
                <w:rFonts w:ascii="宋体" w:hAnsi="宋体" w:eastAsia="宋体" w:cs="宋体"/>
                <w:sz w:val="22"/>
              </w:rPr>
            </w:pPr>
            <w:r>
              <w:rPr>
                <w:rFonts w:ascii="宋体" w:hAnsi="宋体" w:eastAsia="宋体" w:cs="宋体"/>
                <w:sz w:val="22"/>
              </w:rPr>
              <w:t>1.4.采用性价比法的，按商数得分由高到低顺序排列。商数得分相同的，按投标报价由低到高顺序排列。商数得分且投标报价相同的，按技术指标优劣顺序排列。</w:t>
            </w:r>
          </w:p>
          <w:p>
            <w:pPr>
              <w:pStyle w:val="5"/>
              <w:spacing w:line="276" w:lineRule="auto"/>
              <w:rPr>
                <w:rFonts w:ascii="宋体" w:hAnsi="宋体" w:eastAsia="宋体" w:cs="宋体"/>
                <w:sz w:val="22"/>
              </w:rPr>
            </w:pPr>
            <w:r>
              <w:rPr>
                <w:rFonts w:ascii="宋体" w:hAnsi="宋体" w:eastAsia="宋体" w:cs="宋体"/>
                <w:sz w:val="22"/>
              </w:rPr>
              <w:t>1.5.本项目采用的定标方法详见采购文件关键信息的相关内容。</w:t>
            </w:r>
          </w:p>
          <w:p>
            <w:pPr>
              <w:pStyle w:val="5"/>
              <w:spacing w:line="276" w:lineRule="auto"/>
              <w:rPr>
                <w:rFonts w:ascii="宋体" w:hAnsi="宋体" w:eastAsia="宋体" w:cs="宋体"/>
                <w:sz w:val="22"/>
              </w:rPr>
            </w:pPr>
            <w:r>
              <w:rPr>
                <w:rFonts w:ascii="宋体" w:hAnsi="宋体" w:eastAsia="宋体" w:cs="宋体"/>
                <w:sz w:val="22"/>
              </w:rPr>
              <w:t>2.编写评标报告</w:t>
            </w:r>
          </w:p>
          <w:p>
            <w:pPr>
              <w:pStyle w:val="5"/>
              <w:spacing w:line="276" w:lineRule="auto"/>
              <w:rPr>
                <w:rFonts w:ascii="宋体" w:hAnsi="宋体" w:eastAsia="宋体" w:cs="宋体"/>
                <w:sz w:val="22"/>
              </w:rPr>
            </w:pPr>
            <w:r>
              <w:rPr>
                <w:rFonts w:ascii="宋体" w:hAnsi="宋体" w:eastAsia="宋体" w:cs="宋体"/>
                <w:sz w:val="22"/>
              </w:rPr>
              <w:t>2.1.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在案。</w:t>
            </w:r>
          </w:p>
          <w:p>
            <w:pPr>
              <w:pStyle w:val="5"/>
              <w:spacing w:line="276" w:lineRule="auto"/>
              <w:rPr>
                <w:rFonts w:ascii="宋体" w:hAnsi="宋体" w:eastAsia="宋体" w:cs="宋体"/>
                <w:sz w:val="22"/>
              </w:rPr>
            </w:pPr>
            <w:r>
              <w:rPr>
                <w:rFonts w:ascii="宋体" w:hAnsi="宋体" w:eastAsia="宋体" w:cs="宋体"/>
                <w:sz w:val="22"/>
              </w:rPr>
              <w:t>3.中标公告</w:t>
            </w:r>
          </w:p>
          <w:p>
            <w:pPr>
              <w:pStyle w:val="5"/>
              <w:spacing w:line="276" w:lineRule="auto"/>
              <w:rPr>
                <w:rFonts w:ascii="宋体" w:hAnsi="宋体" w:eastAsia="宋体" w:cs="宋体"/>
                <w:sz w:val="22"/>
              </w:rPr>
            </w:pPr>
            <w:r>
              <w:rPr>
                <w:rFonts w:ascii="宋体" w:hAnsi="宋体" w:eastAsia="宋体" w:cs="宋体"/>
                <w:sz w:val="22"/>
              </w:rPr>
              <w:t>3.1.为体现“公开、公平、公正”的原则，评标结束后，评标单位将在</w:t>
            </w:r>
            <w:r>
              <w:rPr>
                <w:rFonts w:hint="eastAsia" w:ascii="宋体" w:hAnsi="宋体" w:eastAsia="宋体" w:cs="宋体"/>
                <w:sz w:val="22"/>
              </w:rPr>
              <w:t>校园官网</w:t>
            </w:r>
            <w:r>
              <w:rPr>
                <w:rFonts w:ascii="宋体" w:hAnsi="宋体" w:eastAsia="宋体" w:cs="宋体"/>
                <w:sz w:val="22"/>
              </w:rPr>
              <w:t>上发布中标结果公告，公示期为三日。供应商如对评标结果有异议，请于公示期内，以书面或网上形式向采购人反映。若在公示期内未提出异议，则视为认同该评标结果。</w:t>
            </w:r>
          </w:p>
          <w:p>
            <w:pPr>
              <w:pStyle w:val="5"/>
              <w:spacing w:line="276" w:lineRule="auto"/>
              <w:rPr>
                <w:rFonts w:ascii="宋体" w:hAnsi="宋体" w:eastAsia="宋体" w:cs="宋体"/>
                <w:sz w:val="22"/>
              </w:rPr>
            </w:pPr>
            <w:r>
              <w:rPr>
                <w:rFonts w:ascii="宋体" w:hAnsi="宋体" w:eastAsia="宋体" w:cs="宋体"/>
                <w:sz w:val="22"/>
              </w:rPr>
              <w:t>3.2.质疑投诉人应保证质疑投诉内容的真实性和可靠性，并承担相应的法律责任。</w:t>
            </w:r>
          </w:p>
          <w:p>
            <w:pPr>
              <w:pStyle w:val="5"/>
              <w:spacing w:line="276" w:lineRule="auto"/>
              <w:rPr>
                <w:rFonts w:ascii="宋体" w:hAnsi="宋体" w:eastAsia="宋体" w:cs="宋体"/>
                <w:sz w:val="22"/>
              </w:rPr>
            </w:pPr>
            <w:r>
              <w:rPr>
                <w:rFonts w:ascii="宋体" w:hAnsi="宋体" w:eastAsia="宋体" w:cs="宋体"/>
                <w:sz w:val="22"/>
              </w:rPr>
              <w:t>4.中标通知书</w:t>
            </w:r>
          </w:p>
          <w:p>
            <w:pPr>
              <w:pStyle w:val="5"/>
              <w:spacing w:line="276" w:lineRule="auto"/>
              <w:rPr>
                <w:rFonts w:ascii="宋体" w:hAnsi="宋体" w:eastAsia="宋体" w:cs="宋体"/>
                <w:sz w:val="22"/>
              </w:rPr>
            </w:pPr>
            <w:r>
              <w:rPr>
                <w:rFonts w:ascii="宋体" w:hAnsi="宋体" w:eastAsia="宋体" w:cs="宋体"/>
                <w:sz w:val="22"/>
              </w:rPr>
              <w:t>4.1.中标公告公布以后，公示期内无人质疑投诉，采购人将向中标人发出《中标通知书》。</w:t>
            </w:r>
          </w:p>
          <w:p>
            <w:pPr>
              <w:pStyle w:val="5"/>
              <w:spacing w:line="276" w:lineRule="auto"/>
              <w:rPr>
                <w:rFonts w:ascii="宋体" w:hAnsi="宋体" w:eastAsia="宋体" w:cs="宋体"/>
                <w:sz w:val="22"/>
              </w:rPr>
            </w:pPr>
            <w:r>
              <w:rPr>
                <w:rFonts w:ascii="宋体" w:hAnsi="宋体" w:eastAsia="宋体" w:cs="宋体"/>
                <w:sz w:val="22"/>
              </w:rPr>
              <w:t>4.2.中标通知书是合同的重要组成部分。</w:t>
            </w:r>
          </w:p>
          <w:p>
            <w:pPr>
              <w:pStyle w:val="5"/>
              <w:spacing w:line="276" w:lineRule="auto"/>
              <w:rPr>
                <w:rFonts w:ascii="宋体" w:hAnsi="宋体" w:eastAsia="宋体" w:cs="宋体"/>
                <w:sz w:val="22"/>
              </w:rPr>
            </w:pPr>
            <w:r>
              <w:rPr>
                <w:rFonts w:ascii="宋体" w:hAnsi="宋体" w:eastAsia="宋体" w:cs="宋体"/>
                <w:sz w:val="22"/>
              </w:rPr>
              <w:t>4.3.因质疑投诉或其它原因导致项目结果变更或采购终止的，采购方有权收回中标通知书或终止采购合同。</w:t>
            </w:r>
          </w:p>
        </w:tc>
      </w:tr>
    </w:tbl>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bookmarkStart w:id="7" w:name="_GoBack"/>
      <w:bookmarkEnd w:id="7"/>
    </w:p>
    <w:sectPr>
      <w:pgSz w:w="16838" w:h="11906" w:orient="landscape"/>
      <w:pgMar w:top="426"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2C93E6"/>
    <w:multiLevelType w:val="singleLevel"/>
    <w:tmpl w:val="C72C93E6"/>
    <w:lvl w:ilvl="0" w:tentative="0">
      <w:start w:val="1"/>
      <w:numFmt w:val="decimalEnclosedCircleChinese"/>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1NjQzZjViOGFlNmViMjBmYjRkM2ViMDU5MTNiZWYifQ=="/>
  </w:docVars>
  <w:rsids>
    <w:rsidRoot w:val="009123E3"/>
    <w:rsid w:val="000249BD"/>
    <w:rsid w:val="00026D0E"/>
    <w:rsid w:val="00036B4B"/>
    <w:rsid w:val="00044CEE"/>
    <w:rsid w:val="000E07C0"/>
    <w:rsid w:val="00112A05"/>
    <w:rsid w:val="001D3FC5"/>
    <w:rsid w:val="002620AD"/>
    <w:rsid w:val="002631D6"/>
    <w:rsid w:val="0026417A"/>
    <w:rsid w:val="00267203"/>
    <w:rsid w:val="0026790E"/>
    <w:rsid w:val="0027703D"/>
    <w:rsid w:val="0029443F"/>
    <w:rsid w:val="002B5BC0"/>
    <w:rsid w:val="002E1D99"/>
    <w:rsid w:val="002F634D"/>
    <w:rsid w:val="00314799"/>
    <w:rsid w:val="003F18FF"/>
    <w:rsid w:val="003F229F"/>
    <w:rsid w:val="00433169"/>
    <w:rsid w:val="004567AC"/>
    <w:rsid w:val="004638CF"/>
    <w:rsid w:val="004640E9"/>
    <w:rsid w:val="004F3F1A"/>
    <w:rsid w:val="00521979"/>
    <w:rsid w:val="00590E18"/>
    <w:rsid w:val="005E0890"/>
    <w:rsid w:val="005E1EE3"/>
    <w:rsid w:val="00640FAE"/>
    <w:rsid w:val="006510F0"/>
    <w:rsid w:val="00651466"/>
    <w:rsid w:val="00671076"/>
    <w:rsid w:val="006853ED"/>
    <w:rsid w:val="006A0E13"/>
    <w:rsid w:val="006A2175"/>
    <w:rsid w:val="006B74C8"/>
    <w:rsid w:val="007469FB"/>
    <w:rsid w:val="00777D8F"/>
    <w:rsid w:val="00842DA0"/>
    <w:rsid w:val="00874CBD"/>
    <w:rsid w:val="008C6AD8"/>
    <w:rsid w:val="008C76A2"/>
    <w:rsid w:val="009041FD"/>
    <w:rsid w:val="009123E3"/>
    <w:rsid w:val="0093624A"/>
    <w:rsid w:val="0095658A"/>
    <w:rsid w:val="009646EE"/>
    <w:rsid w:val="009B6748"/>
    <w:rsid w:val="00A776B8"/>
    <w:rsid w:val="00AE0DD1"/>
    <w:rsid w:val="00AE23F4"/>
    <w:rsid w:val="00B00EDC"/>
    <w:rsid w:val="00B11CCE"/>
    <w:rsid w:val="00B21B56"/>
    <w:rsid w:val="00B3670E"/>
    <w:rsid w:val="00B4450A"/>
    <w:rsid w:val="00B662D4"/>
    <w:rsid w:val="00B91CCC"/>
    <w:rsid w:val="00BD6006"/>
    <w:rsid w:val="00BD7987"/>
    <w:rsid w:val="00C25B67"/>
    <w:rsid w:val="00C275F8"/>
    <w:rsid w:val="00E22A1B"/>
    <w:rsid w:val="00E51520"/>
    <w:rsid w:val="00F16A06"/>
    <w:rsid w:val="00F907F4"/>
    <w:rsid w:val="2E110C4F"/>
    <w:rsid w:val="44144607"/>
    <w:rsid w:val="5C7B0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0"/>
    <w:pPr>
      <w:keepNext/>
      <w:keepLines/>
      <w:spacing w:before="340" w:after="330"/>
      <w:jc w:val="center"/>
      <w:outlineLvl w:val="0"/>
    </w:pPr>
    <w:rPr>
      <w:rFonts w:ascii="Calibri" w:hAnsi="Calibri" w:eastAsia="宋体" w:cs="Times New Roman"/>
      <w:b/>
      <w:bCs/>
      <w:kern w:val="44"/>
      <w:sz w:val="44"/>
      <w:szCs w:val="44"/>
    </w:rPr>
  </w:style>
  <w:style w:type="paragraph" w:styleId="3">
    <w:name w:val="heading 2"/>
    <w:basedOn w:val="1"/>
    <w:next w:val="1"/>
    <w:link w:val="13"/>
    <w:qFormat/>
    <w:uiPriority w:val="0"/>
    <w:pPr>
      <w:keepNext/>
      <w:keepLines/>
      <w:spacing w:before="260" w:after="260"/>
      <w:jc w:val="center"/>
      <w:outlineLvl w:val="1"/>
    </w:pPr>
    <w:rPr>
      <w:rFonts w:ascii="Arial" w:hAnsi="Arial" w:eastAsia="黑体" w:cs="Times New Roman"/>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Normal Indent"/>
    <w:basedOn w:val="1"/>
    <w:uiPriority w:val="0"/>
    <w:pPr>
      <w:ind w:firstLine="420" w:firstLineChars="200"/>
    </w:pPr>
    <w:rPr>
      <w:rFonts w:ascii="Calibri" w:hAnsi="Calibri" w:eastAsia="宋体" w:cs="Times New Roman"/>
      <w:szCs w:val="24"/>
    </w:rPr>
  </w:style>
  <w:style w:type="paragraph" w:styleId="5">
    <w:name w:val="Body Text"/>
    <w:basedOn w:val="1"/>
    <w:link w:val="14"/>
    <w:uiPriority w:val="0"/>
    <w:pPr>
      <w:spacing w:after="120"/>
    </w:pPr>
    <w:rPr>
      <w:szCs w:val="24"/>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sz w:val="18"/>
      <w:szCs w:val="18"/>
    </w:rPr>
  </w:style>
  <w:style w:type="character" w:customStyle="1" w:styleId="11">
    <w:name w:val="页脚 字符"/>
    <w:basedOn w:val="9"/>
    <w:link w:val="6"/>
    <w:qFormat/>
    <w:uiPriority w:val="99"/>
    <w:rPr>
      <w:sz w:val="18"/>
      <w:szCs w:val="18"/>
    </w:rPr>
  </w:style>
  <w:style w:type="character" w:customStyle="1" w:styleId="12">
    <w:name w:val="标题 1 字符"/>
    <w:basedOn w:val="9"/>
    <w:link w:val="2"/>
    <w:uiPriority w:val="0"/>
    <w:rPr>
      <w:rFonts w:ascii="Calibri" w:hAnsi="Calibri" w:eastAsia="宋体" w:cs="Times New Roman"/>
      <w:b/>
      <w:bCs/>
      <w:kern w:val="44"/>
      <w:sz w:val="44"/>
      <w:szCs w:val="44"/>
    </w:rPr>
  </w:style>
  <w:style w:type="character" w:customStyle="1" w:styleId="13">
    <w:name w:val="标题 2 字符"/>
    <w:basedOn w:val="9"/>
    <w:link w:val="3"/>
    <w:uiPriority w:val="0"/>
    <w:rPr>
      <w:rFonts w:ascii="Arial" w:hAnsi="Arial" w:eastAsia="黑体" w:cs="Times New Roman"/>
      <w:b/>
      <w:bCs/>
      <w:kern w:val="2"/>
      <w:sz w:val="32"/>
      <w:szCs w:val="32"/>
    </w:rPr>
  </w:style>
  <w:style w:type="character" w:customStyle="1" w:styleId="14">
    <w:name w:val="正文文本 字符"/>
    <w:link w:val="5"/>
    <w:uiPriority w:val="0"/>
    <w:rPr>
      <w:kern w:val="2"/>
      <w:sz w:val="21"/>
      <w:szCs w:val="24"/>
    </w:rPr>
  </w:style>
  <w:style w:type="character" w:customStyle="1" w:styleId="15">
    <w:name w:val="正文文本 字符1"/>
    <w:basedOn w:val="9"/>
    <w:semiHidden/>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5216</Words>
  <Characters>5470</Characters>
  <Lines>42</Lines>
  <Paragraphs>11</Paragraphs>
  <TotalTime>26</TotalTime>
  <ScaleCrop>false</ScaleCrop>
  <LinksUpToDate>false</LinksUpToDate>
  <CharactersWithSpaces>5523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2023-08-18T06:48:00Z</dcterms:created>
  <dc:creator>DELL</dc:creator>
  <cp:lastModifiedBy>于斌</cp:lastModifiedBy>
  <dcterms:modified xsi:type="dcterms:W3CDTF">2023-08-19T03:30:07Z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6CA8216C638745E3A6DF6215BFB537AB_13</vt:lpwstr>
  </property>
</Properties>
</file>